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C70" w14:textId="0FFF7F69" w:rsidR="002352D4" w:rsidRDefault="002352D4" w:rsidP="002352D4">
      <w:pPr>
        <w:pStyle w:val="Corpotesto"/>
        <w:ind w:left="284"/>
        <w:rPr>
          <w:noProof/>
          <w:lang w:eastAsia="it-IT"/>
        </w:rPr>
      </w:pPr>
    </w:p>
    <w:bookmarkStart w:id="0" w:name="_Hlk163573740"/>
    <w:p w14:paraId="12A2AAB2" w14:textId="7C3A8526" w:rsidR="003C3599" w:rsidRDefault="000F0FA3" w:rsidP="00882CB4">
      <w:pPr>
        <w:tabs>
          <w:tab w:val="left" w:pos="5400"/>
          <w:tab w:val="right" w:pos="9638"/>
        </w:tabs>
        <w:suppressAutoHyphens/>
        <w:jc w:val="center"/>
        <w:rPr>
          <w:rFonts w:ascii="Brush Script MT" w:hAnsi="Brush Script MT"/>
          <w:color w:val="FF0000"/>
          <w:sz w:val="58"/>
          <w:szCs w:val="58"/>
          <w:lang w:val="en-US" w:eastAsia="ar-SA"/>
        </w:rPr>
      </w:pPr>
      <w:r w:rsidRPr="000F0FA3">
        <w:rPr>
          <w:rFonts w:eastAsia="Calibri"/>
          <w:sz w:val="24"/>
          <w:szCs w:val="24"/>
        </w:rPr>
        <w:fldChar w:fldCharType="begin"/>
      </w:r>
      <w:r w:rsidRPr="000F0FA3">
        <w:rPr>
          <w:rFonts w:eastAsia="Calibri"/>
          <w:sz w:val="24"/>
          <w:szCs w:val="24"/>
        </w:rPr>
        <w:instrText xml:space="preserve"> INCLUDEPICTURE "cid:image001.jpg@01D84A75.D2754740" \* MERGEFORMAT </w:instrText>
      </w:r>
      <w:r w:rsidRPr="000F0FA3">
        <w:rPr>
          <w:rFonts w:eastAsia="Calibri"/>
          <w:sz w:val="24"/>
          <w:szCs w:val="24"/>
        </w:rPr>
        <w:fldChar w:fldCharType="separate"/>
      </w:r>
      <w:r w:rsidRPr="000F0FA3">
        <w:rPr>
          <w:rFonts w:eastAsia="Calibri"/>
          <w:noProof/>
          <w:sz w:val="24"/>
          <w:szCs w:val="24"/>
          <w:lang w:eastAsia="it-IT"/>
        </w:rPr>
        <w:pict w14:anchorId="01142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zione: Logo Amet_comp" style="width:327.75pt;height:59.25pt;visibility:visible">
            <v:imagedata r:id="rId8" r:href="rId9"/>
          </v:shape>
        </w:pict>
      </w:r>
      <w:r w:rsidRPr="000F0FA3">
        <w:rPr>
          <w:rFonts w:eastAsia="Calibri"/>
          <w:sz w:val="24"/>
          <w:szCs w:val="24"/>
        </w:rPr>
        <w:fldChar w:fldCharType="end"/>
      </w:r>
      <w:bookmarkEnd w:id="0"/>
    </w:p>
    <w:p w14:paraId="3146D50B" w14:textId="77777777" w:rsidR="000F0FA3" w:rsidRPr="000F0FA3" w:rsidRDefault="000F0FA3" w:rsidP="000F0FA3">
      <w:pPr>
        <w:widowControl/>
        <w:autoSpaceDE/>
        <w:autoSpaceDN/>
        <w:spacing w:line="276" w:lineRule="auto"/>
        <w:jc w:val="both"/>
        <w:rPr>
          <w:b/>
          <w:bCs/>
          <w:sz w:val="24"/>
          <w:szCs w:val="24"/>
          <w:highlight w:val="yellow"/>
          <w:lang w:eastAsia="it-IT"/>
        </w:rPr>
      </w:pPr>
      <w:bookmarkStart w:id="1" w:name="_Hlk163573750"/>
      <w:r w:rsidRPr="000F0FA3">
        <w:rPr>
          <w:b/>
          <w:bCs/>
          <w:sz w:val="24"/>
          <w:szCs w:val="24"/>
          <w:lang w:eastAsia="it-IT"/>
        </w:rPr>
        <w:t xml:space="preserve">PNRR: </w:t>
      </w:r>
      <w:bookmarkStart w:id="2" w:name="_Hlk163552007"/>
      <w:r w:rsidRPr="000F0FA3">
        <w:rPr>
          <w:b/>
          <w:bCs/>
          <w:sz w:val="24"/>
          <w:szCs w:val="24"/>
          <w:lang w:eastAsia="it-IT"/>
        </w:rPr>
        <w:t>MISSIONE 2 ”RIVOLUZIONE VERDE E TRANSIZIONE ECOLOGICA”-COMPONENTE 2 “ENERGIE RINNOVABILI, IDROGENO, RETE E MOBILITA’ SOSTENIBILE”- INTERVENTO/MISURA 2 ”POTENZIARE E DIGITALIZZARE LE INFRASTRUTTURE DI RETE”- INVESTIMENTO 2.1 “RAFFORZAMENTO SMART GRID”(M2C2-I21)</w:t>
      </w:r>
    </w:p>
    <w:bookmarkEnd w:id="2"/>
    <w:p w14:paraId="0567C99C" w14:textId="77777777" w:rsidR="000F0FA3" w:rsidRPr="000F0FA3" w:rsidRDefault="000F0FA3" w:rsidP="000F0FA3">
      <w:pPr>
        <w:widowControl/>
        <w:tabs>
          <w:tab w:val="left" w:pos="567"/>
        </w:tabs>
        <w:adjustRightInd w:val="0"/>
        <w:spacing w:line="276" w:lineRule="auto"/>
        <w:jc w:val="center"/>
        <w:rPr>
          <w:rFonts w:eastAsia="Calibri"/>
          <w:b/>
          <w:bCs/>
          <w:color w:val="FF0000"/>
          <w:sz w:val="24"/>
          <w:szCs w:val="24"/>
          <w:lang w:val="it"/>
        </w:rPr>
      </w:pPr>
    </w:p>
    <w:p w14:paraId="79AE2B80" w14:textId="77777777" w:rsidR="000F0FA3" w:rsidRPr="000F0FA3" w:rsidRDefault="000F0FA3" w:rsidP="000F0FA3">
      <w:pPr>
        <w:widowControl/>
        <w:adjustRightInd w:val="0"/>
        <w:spacing w:line="276" w:lineRule="auto"/>
        <w:rPr>
          <w:rFonts w:eastAsia="Calibri"/>
          <w:b/>
          <w:sz w:val="24"/>
          <w:szCs w:val="24"/>
          <w:lang w:val="it"/>
        </w:rPr>
      </w:pPr>
    </w:p>
    <w:p w14:paraId="29C7D8CB" w14:textId="77777777" w:rsidR="000F0FA3" w:rsidRPr="000F0FA3" w:rsidRDefault="000F0FA3" w:rsidP="000F0FA3">
      <w:pPr>
        <w:widowControl/>
        <w:suppressAutoHyphens/>
        <w:autoSpaceDE/>
        <w:spacing w:line="276" w:lineRule="auto"/>
        <w:jc w:val="both"/>
        <w:textAlignment w:val="baseline"/>
        <w:rPr>
          <w:rFonts w:eastAsia="Calibri"/>
          <w:b/>
          <w:bCs/>
          <w:sz w:val="24"/>
          <w:szCs w:val="24"/>
          <w:lang w:val="it"/>
        </w:rPr>
      </w:pPr>
      <w:r w:rsidRPr="000F0FA3">
        <w:rPr>
          <w:rFonts w:eastAsia="Calibri"/>
          <w:b/>
          <w:bCs/>
          <w:sz w:val="24"/>
          <w:szCs w:val="24"/>
          <w:lang w:val="it"/>
        </w:rPr>
        <w:t xml:space="preserve">PROCEDURA APERTA, AI SENSI DELL’ART. 71 DEL D.LGS. N. 36/2023 (E S.M.I.), PER LA </w:t>
      </w:r>
      <w:bookmarkStart w:id="3" w:name="_Hlk163573688"/>
      <w:r w:rsidRPr="000F0FA3">
        <w:rPr>
          <w:rFonts w:eastAsia="Calibri"/>
          <w:b/>
          <w:bCs/>
          <w:sz w:val="24"/>
          <w:szCs w:val="24"/>
          <w:lang w:val="it"/>
        </w:rPr>
        <w:t>FORNITURA</w:t>
      </w:r>
      <w:r w:rsidRPr="000F0FA3">
        <w:rPr>
          <w:rFonts w:eastAsia="Calibri"/>
          <w:b/>
          <w:bCs/>
          <w:sz w:val="24"/>
          <w:szCs w:val="24"/>
          <w:lang w:val="it"/>
        </w:rPr>
        <w:tab/>
        <w:t>E POSA</w:t>
      </w:r>
      <w:r w:rsidRPr="000F0FA3">
        <w:rPr>
          <w:rFonts w:eastAsia="Calibri"/>
          <w:b/>
          <w:bCs/>
          <w:sz w:val="24"/>
          <w:szCs w:val="24"/>
          <w:lang w:val="it"/>
        </w:rPr>
        <w:tab/>
        <w:t>IN OPERA</w:t>
      </w:r>
      <w:r w:rsidRPr="000F0FA3">
        <w:rPr>
          <w:rFonts w:eastAsia="Calibri"/>
          <w:b/>
          <w:bCs/>
          <w:sz w:val="24"/>
          <w:szCs w:val="24"/>
          <w:lang w:val="it"/>
        </w:rPr>
        <w:tab/>
        <w:t>DI N. 3  TRASFORMATORI TRIFASE PER  AT/MT DA DISTRIBUZIONE - FINANZIATO DALL’UNIONE EUROPEA- NEXGENERATIONEU</w:t>
      </w:r>
      <w:bookmarkEnd w:id="3"/>
    </w:p>
    <w:bookmarkEnd w:id="1"/>
    <w:p w14:paraId="06C3A6B2" w14:textId="77777777" w:rsidR="00113D66" w:rsidRDefault="00113D66" w:rsidP="002734F0">
      <w:pPr>
        <w:jc w:val="center"/>
      </w:pPr>
    </w:p>
    <w:p w14:paraId="7D3630BA" w14:textId="47EB082D" w:rsidR="002734F0" w:rsidRDefault="002734F0" w:rsidP="002734F0">
      <w:pPr>
        <w:jc w:val="center"/>
      </w:pPr>
      <w:r>
        <w:t>PRINCIPIO DNSH: PREVISIONI ED OBBLIGHI</w:t>
      </w:r>
    </w:p>
    <w:p w14:paraId="1DD332AD" w14:textId="77777777" w:rsidR="002335E3" w:rsidRDefault="002335E3" w:rsidP="002734F0">
      <w:pPr>
        <w:jc w:val="center"/>
      </w:pPr>
    </w:p>
    <w:p w14:paraId="22F84AFB" w14:textId="77777777" w:rsidR="002734F0" w:rsidRDefault="002734F0" w:rsidP="002734F0">
      <w:pPr>
        <w:rPr>
          <w:u w:val="single"/>
        </w:rPr>
      </w:pPr>
      <w:r>
        <w:rPr>
          <w:u w:val="single"/>
        </w:rPr>
        <w:t xml:space="preserve">Premesse </w:t>
      </w:r>
    </w:p>
    <w:p w14:paraId="2A6138F4" w14:textId="337DB91E" w:rsidR="002734F0" w:rsidRDefault="002734F0" w:rsidP="002335E3">
      <w:pPr>
        <w:spacing w:after="120"/>
        <w:jc w:val="both"/>
      </w:pPr>
      <w:r>
        <w:t>Il Dispositivo per la ripresa e la resilienza, istituito dal Regolamento UE 241/2021, stabilisce che tutte le misure dei Piani nazionali per la ripresa e resilienza (PNRR) debbano soddisfare il principio di “non arrecare danno significativo agli obiettivi ambientali”. Tale vincolo si traduce in una valutazione di conformità degli interventi al principio del “Do No</w:t>
      </w:r>
      <w:r w:rsidR="000A123A">
        <w:t>t</w:t>
      </w:r>
      <w:r>
        <w:t xml:space="preserve"> Significant Harm” (DNSH), con riferimento al sistema di tassonomia delle attività ecosostenibili indicato all’articolo 17 del Regolamento (UE) 2020/852. Il principio DNSH, declinato sui sei obiettivi ambientali definiti nell’ambito del sistema di tassonomia delle attività ecosostenibili, ha lo scopo di valutare se una misura possa o meno arrecare un danno ai predetti sei obiettivi ambientali. Più nel dettaglio, un’attività economica arreca un danno significativo:</w:t>
      </w:r>
    </w:p>
    <w:p w14:paraId="6ED2C433" w14:textId="77777777" w:rsidR="002734F0" w:rsidRDefault="002734F0" w:rsidP="002734F0">
      <w:pPr>
        <w:jc w:val="both"/>
      </w:pPr>
      <w:r>
        <w:t xml:space="preserve">i. alla mitigazione dei cambiamenti climatici, se porta a significative emissioni di gas serra (GHG); </w:t>
      </w:r>
    </w:p>
    <w:p w14:paraId="26BDD762" w14:textId="77777777" w:rsidR="002734F0" w:rsidRDefault="002734F0" w:rsidP="002734F0">
      <w:pPr>
        <w:jc w:val="both"/>
      </w:pPr>
      <w:r>
        <w:t xml:space="preserve">ii. all’adattamento ai cambiamenti climatici, se determina un maggiore impatto negativo del clima attuale e futuro, sull'attività stessa o sulle persone, sulla natura o sui beni; </w:t>
      </w:r>
    </w:p>
    <w:p w14:paraId="5BFC9202" w14:textId="77777777" w:rsidR="002734F0" w:rsidRDefault="002734F0" w:rsidP="002734F0">
      <w:pPr>
        <w:jc w:val="both"/>
      </w:pPr>
      <w:r>
        <w:t xml:space="preserve">iii. all’uso sostenibile e protezione delle risorse idriche e marine, se è dannosa per il buono stato dei corpi idrici (superficiali, sotterranei o marini) determinandone il loro deterioramento qualitativo o la riduzione del potenziale ecologico; </w:t>
      </w:r>
    </w:p>
    <w:p w14:paraId="037A348A" w14:textId="77777777" w:rsidR="002734F0" w:rsidRDefault="002734F0" w:rsidP="002734F0">
      <w:pPr>
        <w:jc w:val="both"/>
      </w:pPr>
      <w:r>
        <w:t xml:space="preserve">iv. alla transizione verso un’economia circolare, inclusa la prevenzione, il riutilizzo ed il riciclaggio dei rifiuti, se porta a significative inefficienze nell'utilizzo di materiali recuperati o riciclati, ad incrementi nell'uso diretto o indiretto di risorse naturali, all’incremento significativo di rifiuti, al loro incenerimento o smaltimento, causando danni ambientali significativi a lungo termine; </w:t>
      </w:r>
    </w:p>
    <w:p w14:paraId="023E557F" w14:textId="77777777" w:rsidR="002734F0" w:rsidRDefault="002734F0" w:rsidP="002734F0">
      <w:pPr>
        <w:jc w:val="both"/>
      </w:pPr>
      <w:r>
        <w:t xml:space="preserve">v. alla prevenzione e riduzione dell'inquinamento, se determina un aumento delle emissioni di inquinanti nell'aria, nell'acqua o nel suolo; </w:t>
      </w:r>
    </w:p>
    <w:p w14:paraId="2C62A7EE" w14:textId="77777777" w:rsidR="002734F0" w:rsidRDefault="002734F0" w:rsidP="002335E3">
      <w:pPr>
        <w:spacing w:after="120"/>
        <w:jc w:val="both"/>
      </w:pPr>
      <w:r>
        <w:t xml:space="preserve">vi. alla protezione e al ripristino di biodiversità e degli ecosistemi, se è dannosa per le buone condizioni e resilienza degli ecosistemi o per lo stato di conservazione degli habitat e delle specie, comprese quelle di interesse per l'Unione europea. </w:t>
      </w:r>
    </w:p>
    <w:p w14:paraId="5FD1112E" w14:textId="77777777" w:rsidR="002734F0" w:rsidRDefault="002734F0" w:rsidP="002335E3">
      <w:pPr>
        <w:spacing w:after="120"/>
        <w:jc w:val="both"/>
      </w:pPr>
      <w:r>
        <w:t xml:space="preserve">Tutti gli investimenti proposti nel PNRR sono stati oggetto di una autovalutazione ex ante condotta dalle Amministrazioni Titolari, volta a verificare se l’investimento di rispettiva competenza: </w:t>
      </w:r>
    </w:p>
    <w:p w14:paraId="728CF9A2" w14:textId="77777777" w:rsidR="002734F0" w:rsidRDefault="002734F0" w:rsidP="002734F0">
      <w:pPr>
        <w:jc w:val="both"/>
      </w:pPr>
      <w:r>
        <w:t xml:space="preserve">A. contribuirà sostanzialmente al raggiungimento dell’obiettivo della mitigazione dei cambiamenti climatici (eventualmente anche perché si tratta di misure con tagging climatico al 100%); oppure </w:t>
      </w:r>
    </w:p>
    <w:p w14:paraId="2551B995" w14:textId="77777777" w:rsidR="002734F0" w:rsidRDefault="002734F0" w:rsidP="002335E3">
      <w:pPr>
        <w:spacing w:after="120"/>
        <w:jc w:val="both"/>
      </w:pPr>
      <w:r>
        <w:t xml:space="preserve">B. si limiterà a “non arrecare danno significativo”. </w:t>
      </w:r>
    </w:p>
    <w:p w14:paraId="4B495B2D" w14:textId="77777777" w:rsidR="002734F0" w:rsidRDefault="002734F0" w:rsidP="002335E3">
      <w:pPr>
        <w:spacing w:after="120"/>
        <w:jc w:val="both"/>
      </w:pPr>
      <w:r>
        <w:t xml:space="preserve">Tale autovalutazione è fondamentale per l’individuazione del corretto regime relativo ai vincoli DNSH da </w:t>
      </w:r>
      <w:r>
        <w:lastRenderedPageBreak/>
        <w:t xml:space="preserve">adottare per gli investimenti PNRR (in relazione alla Missione e alla Componente di riferimento). Nel caso A. l’investimento ricade nel Regime 1, mentre, nel caso B., ricade nel Regime 2. </w:t>
      </w:r>
    </w:p>
    <w:p w14:paraId="583BA337" w14:textId="77777777" w:rsidR="002734F0" w:rsidRDefault="002734F0" w:rsidP="002335E3">
      <w:pPr>
        <w:spacing w:after="120"/>
        <w:jc w:val="both"/>
      </w:pPr>
      <w:r>
        <w:t xml:space="preserve">Gli esiti dell’autovalutazione ex ante in merito al Regime da considerare per ciascun intervento sono riportati nella “Guida Operativa per il rispetto del Principio di non arrecare danno significativo all’ambiente (cd. DNSH)”, che costituisce a sua volta un allegato alla Circolare del 30 dicembre 2021, n. 32 emanata dal Ministero dell’Economia e delle Finanze (MEF) – Dipartimento della Ragioneria Generale dello Stato (RGS). </w:t>
      </w:r>
    </w:p>
    <w:p w14:paraId="02F154F8" w14:textId="77777777" w:rsidR="002734F0" w:rsidRDefault="002734F0" w:rsidP="002335E3">
      <w:pPr>
        <w:spacing w:after="120"/>
        <w:jc w:val="both"/>
      </w:pPr>
      <w:r>
        <w:t xml:space="preserve">Inoltre, sempre quale esito della autovalutazione ex ante, ciascun investimento previsto dal PNRR risulta associato a una o più Schede Tecniche tra quelle allegate alla suddetta Guida. Le Schede Tecniche prendono in considerazione tipologie di attività economiche necessarie per la realizzazione degli investimenti PNRR. Ogni Scheda Tecnica riporta, quindi, per la singola attività i riferimenti normativi, i vincoli DNSH, una sintesi organizzata delle informazioni sui vincoli da rispettare mediante specifiche liste di controllo (check list) per facilitarne l’applicazione. </w:t>
      </w:r>
    </w:p>
    <w:p w14:paraId="7F55555A" w14:textId="2D504FC5" w:rsidR="002734F0" w:rsidRDefault="002352D4" w:rsidP="002335E3">
      <w:pPr>
        <w:spacing w:after="120"/>
        <w:jc w:val="both"/>
      </w:pPr>
      <w:r>
        <w:t>N</w:t>
      </w:r>
      <w:r w:rsidR="002734F0">
        <w:t xml:space="preserve">ell’ambito del quale rientra l’intervento in oggetto, è stato individuato, quale regime applicabile rispetto all’obiettivo di mitigazione dei cambiamenti climatici, il Regime 2, e allo specifico intervento oggetto della presente procedura, è possibile associare la </w:t>
      </w:r>
      <w:r w:rsidR="002734F0" w:rsidRPr="002335E3">
        <w:rPr>
          <w:u w:val="single"/>
        </w:rPr>
        <w:t>Scheda 5</w:t>
      </w:r>
      <w:r w:rsidR="002734F0">
        <w:t xml:space="preserve"> - Interventi edili e cantieristica generica.</w:t>
      </w:r>
    </w:p>
    <w:p w14:paraId="07B864CC" w14:textId="77777777" w:rsidR="002734F0" w:rsidRDefault="002734F0" w:rsidP="002734F0">
      <w:pPr>
        <w:jc w:val="both"/>
      </w:pPr>
      <w:r>
        <w:t>L’Aggiudicatario incaricato (di seguito, “Appaltatore”), nello svolgimento delle prestazioni e delle attività che sarà chiamato ad eseguire, ed anche al fine di consentire al Soggetto Attuatore la dimostrazione che l’effettiva realizzazione dell’appalto è rispettosa del principio DNSH, declinato per l’investimento in oggetto come sopra rappresentato, sarà tenuto ad osservare quanto di seguito specificato.</w:t>
      </w:r>
    </w:p>
    <w:p w14:paraId="47FF9D55" w14:textId="77777777" w:rsidR="002734F0" w:rsidRDefault="002734F0" w:rsidP="002734F0">
      <w:pPr>
        <w:jc w:val="both"/>
      </w:pPr>
    </w:p>
    <w:p w14:paraId="34439AB3" w14:textId="77777777" w:rsidR="002734F0" w:rsidRDefault="002734F0" w:rsidP="002734F0">
      <w:pPr>
        <w:jc w:val="both"/>
        <w:rPr>
          <w:u w:val="single"/>
        </w:rPr>
      </w:pPr>
      <w:r>
        <w:rPr>
          <w:u w:val="single"/>
        </w:rPr>
        <w:t xml:space="preserve">Obblighi generali </w:t>
      </w:r>
    </w:p>
    <w:p w14:paraId="2092902F" w14:textId="77777777" w:rsidR="002734F0" w:rsidRDefault="002734F0" w:rsidP="002734F0">
      <w:pPr>
        <w:jc w:val="both"/>
      </w:pPr>
      <w:r>
        <w:t xml:space="preserve">1. In tutte le fasi della progettazione, l’Appaltatore dovrà valorizzare soluzioni volte alla riduzione dei consumi energetici e all’aumento dell'efficienza energetica, contribuendo alla riduzione delle emissioni di GHG (emissioni di gas serra). </w:t>
      </w:r>
    </w:p>
    <w:p w14:paraId="31B215AB" w14:textId="77777777" w:rsidR="002734F0" w:rsidRDefault="002734F0" w:rsidP="002734F0">
      <w:pPr>
        <w:jc w:val="both"/>
      </w:pPr>
      <w:r>
        <w:t xml:space="preserve">2. In tutte le fasi della progettazione, nonché durante lo svolgimento delle prestazioni di DL e CSE, l’Appaltatore sarà responsabile del rispetto delle norme e dei regolamenti vigenti nell’ambito del raggiungimento degli obiettivi di mitigazione, adattamento e riduzione degli impatti e dei rischi ambientali, contribuendo per altro all'obiettivo nazionale di incremento annuo dell'efficienza energetica, previsto dalla Direttiva 2012/27/UE del Parlamento Europeo e del Consiglio del 25 ottobre 2012 sull’efficienza energetica. </w:t>
      </w:r>
    </w:p>
    <w:p w14:paraId="17F61C9C" w14:textId="77777777" w:rsidR="002734F0" w:rsidRDefault="002734F0" w:rsidP="002734F0">
      <w:pPr>
        <w:jc w:val="both"/>
      </w:pPr>
      <w:r>
        <w:t xml:space="preserve">3. Per tutte le fasi della progettazione, in particolare nell’ambito della redazione degli elaborati di cui agli articoli 30 e 43 del d.P.R. 5 ottobre 2010, n. 207, nonché nell’eventuale svolgimento della Direzione dei lavori, l’Appaltatore dovrà elaborare e verificare specifiche indicazioni finalizzate al rispetto del principio del DNSH e al controllo dell’attuazione dello stesso nella fase realizzativa, così da consentire che gli Stati di Avanzamento dei Lavori (di seguito, “SAL”) contengano una descrizione dettagliata sull’adempimento delle condizioni imposte dal rispetto del principio. </w:t>
      </w:r>
    </w:p>
    <w:p w14:paraId="57B45E31" w14:textId="256758D4" w:rsidR="002734F0" w:rsidRDefault="002734F0" w:rsidP="002734F0">
      <w:pPr>
        <w:jc w:val="both"/>
      </w:pPr>
      <w:r>
        <w:t>4. Premesso che la normativa nazionale di riferimento è già conforme al principio DNSH, nel</w:t>
      </w:r>
      <w:r w:rsidR="00E2586F">
        <w:t xml:space="preserve"> caso in cui, per lo specifico i</w:t>
      </w:r>
      <w:r>
        <w:t>ntervento, il suddetto principio DNSH imponesse requisiti aggiuntivi rispetto alla normativa nazionale di riferimento e non garantiti dalle certificazioni ambientali previste nell’ordinamento nazionale, l’Appaltatore sarà comunque tenuto al rispetto dei principi evidenziati nelle Schede Tecnic</w:t>
      </w:r>
      <w:r w:rsidR="00E2586F">
        <w:t>he 5 e</w:t>
      </w:r>
      <w:r>
        <w:t xml:space="preserve"> 18 di cui “Guida Operativa per il rispetto del Principio di non arrecare danno significativo all’ambiente (cd. DNSH)” </w:t>
      </w:r>
      <w:r w:rsidR="00E2586F">
        <w:t xml:space="preserve">allegata </w:t>
      </w:r>
      <w:r>
        <w:t xml:space="preserve">alla Circolare MEF-RGS del 30 dicembre 2021, n. 32. </w:t>
      </w:r>
    </w:p>
    <w:p w14:paraId="3D8E6F9E" w14:textId="4A576629" w:rsidR="002734F0" w:rsidRDefault="002734F0" w:rsidP="002734F0">
      <w:pPr>
        <w:jc w:val="both"/>
      </w:pPr>
      <w:r>
        <w:t>5. L’Appaltatore dovrà altresì supportare il Soggetto Attuatore nell’individuazione di eventuali ulter</w:t>
      </w:r>
      <w:r w:rsidR="006614BC">
        <w:t>iori Schede Tecniche (oltre alle</w:t>
      </w:r>
      <w:r>
        <w:t xml:space="preserve"> Schede 5 e 18) di cui alla “Guida Operativa per il rispetto del Principio di non arrecare danno significativo all’ambiente (cd. DNSH)” allegata alla Circolare MEF-RGS del 30 dicembre 2021, n. 32, nonché nell’individuazione del corretto regime relativo ai vincoli DNSH da adottare con riferimento alle peculiarità dell’intervento in oggetto.</w:t>
      </w:r>
    </w:p>
    <w:p w14:paraId="1C5CD6DE" w14:textId="77777777" w:rsidR="002734F0" w:rsidRDefault="002734F0" w:rsidP="002734F0">
      <w:pPr>
        <w:jc w:val="both"/>
      </w:pPr>
    </w:p>
    <w:p w14:paraId="30ABCDA7" w14:textId="77777777" w:rsidR="002734F0" w:rsidRDefault="002734F0" w:rsidP="002734F0">
      <w:pPr>
        <w:jc w:val="both"/>
        <w:rPr>
          <w:u w:val="single"/>
        </w:rPr>
      </w:pPr>
      <w:r>
        <w:rPr>
          <w:u w:val="single"/>
        </w:rPr>
        <w:t>Obblighi Specifici</w:t>
      </w:r>
    </w:p>
    <w:p w14:paraId="49FD52B0" w14:textId="7FF44517" w:rsidR="002734F0" w:rsidRDefault="002734F0" w:rsidP="002734F0">
      <w:pPr>
        <w:jc w:val="both"/>
      </w:pPr>
      <w:r>
        <w:t xml:space="preserve">Ai fini del rispetto dei vincoli DNSH, fermo restando gli obblighi generali sopra elencati, l’Appaltatore sarà tenuto altresì ad osservare i seguenti obblighi specifici per il perseguimento dei sei </w:t>
      </w:r>
      <w:r w:rsidR="00382621">
        <w:t>obiettivi ambientali di cui in premessa</w:t>
      </w:r>
      <w:r>
        <w:t>.</w:t>
      </w:r>
    </w:p>
    <w:p w14:paraId="165A0DAC" w14:textId="77777777" w:rsidR="002734F0" w:rsidRDefault="002734F0" w:rsidP="002734F0">
      <w:pPr>
        <w:jc w:val="both"/>
      </w:pPr>
      <w:r>
        <w:t>Con riferimento a:</w:t>
      </w:r>
    </w:p>
    <w:p w14:paraId="17CB29E6" w14:textId="77777777" w:rsidR="002734F0" w:rsidRDefault="002734F0" w:rsidP="002734F0">
      <w:pPr>
        <w:jc w:val="both"/>
      </w:pPr>
    </w:p>
    <w:p w14:paraId="681308AF" w14:textId="77777777" w:rsidR="002734F0" w:rsidRDefault="002734F0" w:rsidP="002734F0">
      <w:pPr>
        <w:jc w:val="both"/>
      </w:pPr>
      <w:r>
        <w:lastRenderedPageBreak/>
        <w:t xml:space="preserve">OBIETTIVO 1: MITIGAZIONE DEL CAMBIAMENTO CLIMATICO </w:t>
      </w:r>
    </w:p>
    <w:p w14:paraId="7EC52B10" w14:textId="77777777" w:rsidR="002734F0" w:rsidRDefault="002734F0" w:rsidP="002734F0">
      <w:pPr>
        <w:jc w:val="both"/>
      </w:pPr>
    </w:p>
    <w:p w14:paraId="6D120F94" w14:textId="77777777" w:rsidR="002734F0" w:rsidRDefault="002734F0" w:rsidP="002734F0">
      <w:pPr>
        <w:jc w:val="both"/>
      </w:pPr>
      <w:r>
        <w:t xml:space="preserve">SCHEDA 5 - Interventi edili e cantieristica generica </w:t>
      </w:r>
    </w:p>
    <w:p w14:paraId="68EC89E3" w14:textId="77777777" w:rsidR="002734F0" w:rsidRDefault="002734F0" w:rsidP="002734F0">
      <w:pPr>
        <w:jc w:val="both"/>
      </w:pPr>
      <w:r>
        <w:t>Al fine di garantire il rispetto del principio DNSH connesso con la mitigazione dei cambiamenti climatici e la significativa riduzione di emissioni di gas a effetto serra, l’Appaltatore, in sede di progettazione nella redazione del Piano di Sicurezza e Coordinamento (di seguito, “PSC”), che conterrà specifiche prescrizioni operative, e nella redazione del Piano di Monitoraggio ambientale in caso di Valutazione di Impatto Ambientale (di seguito, “VIA”), dovrà adottare tutte le strategie disponibili per consentire all’impresa aggiudicataria dei lavori un’efficace gestione operativa del cantiere così da garantire il contenimento delle emissioni GHG.</w:t>
      </w:r>
    </w:p>
    <w:p w14:paraId="5572C3AC" w14:textId="77777777" w:rsidR="002734F0" w:rsidRDefault="002734F0" w:rsidP="002734F0">
      <w:pPr>
        <w:jc w:val="both"/>
      </w:pPr>
    </w:p>
    <w:p w14:paraId="2EC98124" w14:textId="77777777" w:rsidR="002734F0" w:rsidRDefault="002734F0" w:rsidP="002734F0">
      <w:pPr>
        <w:jc w:val="both"/>
      </w:pPr>
      <w:r>
        <w:t xml:space="preserve">OBIETTIVO 2: ADATTAMENTO AI CAMBIAMENTI CLIMATICI </w:t>
      </w:r>
    </w:p>
    <w:p w14:paraId="21FF53CD" w14:textId="77777777" w:rsidR="002734F0" w:rsidRDefault="002734F0" w:rsidP="002734F0">
      <w:pPr>
        <w:jc w:val="both"/>
      </w:pPr>
    </w:p>
    <w:p w14:paraId="5B3E9D96" w14:textId="77777777" w:rsidR="002734F0" w:rsidRDefault="002734F0" w:rsidP="002734F0">
      <w:pPr>
        <w:jc w:val="both"/>
      </w:pPr>
      <w:r>
        <w:t xml:space="preserve">SCHEDA 5 - Interventi edili e cantieristica generica </w:t>
      </w:r>
    </w:p>
    <w:p w14:paraId="0C307397" w14:textId="77777777" w:rsidR="002734F0" w:rsidRDefault="002734F0" w:rsidP="002734F0">
      <w:pPr>
        <w:jc w:val="both"/>
      </w:pPr>
      <w:r>
        <w:t xml:space="preserve">Nello sviluppo della progettazione, l’Appaltatore dovrà verificare le potenzialità di rischio e dissesto idrogeologico afferenti alle aree adibite ai lavori, mediante uno studio geologico e idrogeologico. </w:t>
      </w:r>
    </w:p>
    <w:p w14:paraId="39CF1124" w14:textId="77777777" w:rsidR="002734F0" w:rsidRDefault="002734F0" w:rsidP="002734F0">
      <w:pPr>
        <w:jc w:val="both"/>
      </w:pPr>
      <w:r>
        <w:t xml:space="preserve">Tale aspetto deve essere correlato alle dimensioni del cantiere e deve essere riferito alle sole aree a servizio dell’intervento (cd. “Campo base”) </w:t>
      </w:r>
      <w:r w:rsidRPr="00382621">
        <w:rPr>
          <w:b/>
          <w:sz w:val="16"/>
          <w:szCs w:val="16"/>
        </w:rPr>
        <w:t>1</w:t>
      </w:r>
      <w:r>
        <w:t xml:space="preserve">. </w:t>
      </w:r>
    </w:p>
    <w:p w14:paraId="57D16F23" w14:textId="77777777" w:rsidR="002734F0" w:rsidRDefault="002734F0" w:rsidP="002734F0">
      <w:pPr>
        <w:jc w:val="both"/>
      </w:pPr>
      <w:r>
        <w:t xml:space="preserve">In particolare, nella redazione del PSC l’Appaltatore dovrà garantire che i Campi Base, ove necessario, non siano ubicati: </w:t>
      </w:r>
    </w:p>
    <w:p w14:paraId="18A1827C" w14:textId="77777777" w:rsidR="002734F0" w:rsidRDefault="002734F0" w:rsidP="002734F0">
      <w:pPr>
        <w:jc w:val="both"/>
      </w:pPr>
      <w:r>
        <w:t xml:space="preserve">- in settori concretamente o potenzialmente interessati da fenomeni gravitativi quali ad esempio aree interessate da rilevante pericolosità a fenomeni franosi, smottamenti e instabilità dei pendii; </w:t>
      </w:r>
    </w:p>
    <w:p w14:paraId="071790B0" w14:textId="77777777" w:rsidR="002734F0" w:rsidRPr="00382621" w:rsidRDefault="002734F0" w:rsidP="002734F0">
      <w:pPr>
        <w:jc w:val="both"/>
      </w:pPr>
      <w:r>
        <w:t xml:space="preserve">- in aree di pertinenza fluviale e/o aree a rischio inondazione quali ad esempio </w:t>
      </w:r>
      <w:r w:rsidRPr="00382621">
        <w:t xml:space="preserve">aree in prossimità di corsi idrici superficiali o limitrofe a bacini naturali in cui si possono verificare inondazioni a seguito di fenomeni meteorici importanti o catastrofi naturali. </w:t>
      </w:r>
    </w:p>
    <w:p w14:paraId="2E1667E9" w14:textId="77777777" w:rsidR="002734F0" w:rsidRDefault="002734F0" w:rsidP="002734F0">
      <w:pPr>
        <w:jc w:val="both"/>
      </w:pPr>
      <w:r w:rsidRPr="00382621">
        <w:t>Le aree di rischio possono essere preventivamente determinate accedendo al portale ISPRA c</w:t>
      </w:r>
      <w:r>
        <w:t>onsultando la mappa nazionale del dissesto idrogeologico, ed eventualmente estendendo lo studio ad una valutazione di rischio idraulico sito specifica.</w:t>
      </w:r>
    </w:p>
    <w:p w14:paraId="2C9D236C" w14:textId="77777777" w:rsidR="002734F0" w:rsidRDefault="002734F0" w:rsidP="002734F0">
      <w:pPr>
        <w:jc w:val="both"/>
      </w:pPr>
    </w:p>
    <w:p w14:paraId="2364AE8B" w14:textId="77777777" w:rsidR="002734F0" w:rsidRDefault="002734F0" w:rsidP="002734F0">
      <w:pPr>
        <w:jc w:val="both"/>
      </w:pPr>
      <w:r>
        <w:t xml:space="preserve">OBIETTIVO 3: USO SOSTENIBILE E PROTEZIONE DELLE RISORSE IDRICHE E MARINE </w:t>
      </w:r>
    </w:p>
    <w:p w14:paraId="53B7E6DD" w14:textId="77777777" w:rsidR="002734F0" w:rsidRDefault="002734F0" w:rsidP="002734F0">
      <w:pPr>
        <w:jc w:val="both"/>
      </w:pPr>
    </w:p>
    <w:p w14:paraId="51209290" w14:textId="77777777" w:rsidR="002734F0" w:rsidRDefault="002734F0" w:rsidP="002734F0">
      <w:pPr>
        <w:jc w:val="both"/>
      </w:pPr>
      <w:r>
        <w:t xml:space="preserve">SCHEDA 5 - Interventi edili e cantieristica generica </w:t>
      </w:r>
    </w:p>
    <w:p w14:paraId="69A375D4" w14:textId="77777777" w:rsidR="002734F0" w:rsidRDefault="002734F0" w:rsidP="002734F0">
      <w:pPr>
        <w:jc w:val="both"/>
      </w:pPr>
      <w:r>
        <w:t xml:space="preserve">Nella redazione del PSC, l’Appaltatore dovrà prestare particolare attenzione alla previsione di soluzioni organizzative e gestionali che tutelino dal punto di vista quantitativo e qualitativo la risorsa idrica (acque superficiali e profonde) relativamente al suo sfruttamento e/o protezione. </w:t>
      </w:r>
    </w:p>
    <w:p w14:paraId="3EEC25D9" w14:textId="77777777" w:rsidR="002734F0" w:rsidRDefault="002734F0" w:rsidP="002734F0">
      <w:pPr>
        <w:jc w:val="both"/>
      </w:pPr>
      <w:r>
        <w:t xml:space="preserve">L’Appaltatore, nella redazione degli elaborati, dovrà svolgere le seguenti attività: </w:t>
      </w:r>
    </w:p>
    <w:p w14:paraId="0474DBE3" w14:textId="77777777" w:rsidR="002734F0" w:rsidRDefault="002734F0" w:rsidP="002734F0">
      <w:pPr>
        <w:jc w:val="both"/>
      </w:pPr>
      <w:r>
        <w:t xml:space="preserve">- verificare la necessità della redazione del Piano di gestione delle Acque Meteoriche Dilavanti del cantiere (di seguito, “AMD”); </w:t>
      </w:r>
    </w:p>
    <w:p w14:paraId="12245614" w14:textId="77777777" w:rsidR="002734F0" w:rsidRDefault="002734F0" w:rsidP="002734F0">
      <w:pPr>
        <w:jc w:val="both"/>
      </w:pPr>
      <w:r>
        <w:t xml:space="preserve">- verificare la necessità di ottenere autorizzazioni allo scarico delle acque reflue; </w:t>
      </w:r>
    </w:p>
    <w:p w14:paraId="1707031A" w14:textId="77777777" w:rsidR="002734F0" w:rsidRDefault="002734F0" w:rsidP="002734F0">
      <w:pPr>
        <w:jc w:val="both"/>
      </w:pPr>
      <w:r>
        <w:t xml:space="preserve">- sviluppare il bilancio idrico dell’attività di cantiere mediante la gestione delle acque industriali associate a specifiche lavorazioni quali ad esempio betonaggio, frantoio inerti, trattamento mobile di rifiuti etc. </w:t>
      </w:r>
    </w:p>
    <w:p w14:paraId="030EBB04" w14:textId="77777777" w:rsidR="002734F0" w:rsidRDefault="002734F0" w:rsidP="002734F0">
      <w:pPr>
        <w:jc w:val="both"/>
      </w:pPr>
      <w:r>
        <w:t xml:space="preserve">Qualora l’esecutore dei lavori, proponesse delle soluzioni migliorative in relazione alle proprie tecnologie, alle proprie scelte imprenditoriali e alla propria organizzazione lavorativa, le stesse, dovranno essere sottoposte al Coordinatore per la Sicurezza in fase di Esecuzione (di seguito, “CSE”) ai fini dell’aggiornamento del PSC e riportate dall’impresa esecutrice all’interno del Piano Operativo di Sicurezza (di seguito” POS”). </w:t>
      </w:r>
    </w:p>
    <w:p w14:paraId="67292F44" w14:textId="77777777" w:rsidR="002734F0" w:rsidRDefault="002734F0" w:rsidP="002734F0">
      <w:pPr>
        <w:jc w:val="both"/>
      </w:pPr>
    </w:p>
    <w:p w14:paraId="320720FE" w14:textId="77777777" w:rsidR="002734F0" w:rsidRDefault="002734F0" w:rsidP="002734F0">
      <w:pPr>
        <w:jc w:val="both"/>
      </w:pPr>
      <w:r>
        <w:t xml:space="preserve">OBIETTIVO 4: ECONOMIA CIRCOLARE </w:t>
      </w:r>
    </w:p>
    <w:p w14:paraId="56898039" w14:textId="77777777" w:rsidR="002734F0" w:rsidRDefault="002734F0" w:rsidP="002734F0">
      <w:pPr>
        <w:jc w:val="both"/>
      </w:pPr>
    </w:p>
    <w:p w14:paraId="7408DD46" w14:textId="001D465F" w:rsidR="002734F0" w:rsidRDefault="002734F0" w:rsidP="002734F0">
      <w:pPr>
        <w:jc w:val="both"/>
      </w:pPr>
      <w:r>
        <w:t xml:space="preserve">SCHEDA 5 - Interventi edili e cantieristica generica </w:t>
      </w:r>
    </w:p>
    <w:p w14:paraId="131DCD14" w14:textId="77777777" w:rsidR="002734F0" w:rsidRDefault="002734F0" w:rsidP="002734F0">
      <w:pPr>
        <w:jc w:val="both"/>
      </w:pPr>
      <w:r w:rsidRPr="00862B1C">
        <w:t>Nell’attività di progettazione l’Appaltatore dovrà garantire la prevenzione e riduzione dell’inquinamento tenendo conto di una corretta gestione ambientale dei rifiuti (decreto legislativo 3 aprile 2006, n. 152) e delle rocce e terre da scavo (decreto del Presidente della Repubblica 13 giugno 2017, n.120) al fine di garantirne il recupero.</w:t>
      </w:r>
      <w:r>
        <w:t xml:space="preserve"> </w:t>
      </w:r>
    </w:p>
    <w:p w14:paraId="79513B79" w14:textId="02A17A36" w:rsidR="002734F0" w:rsidRDefault="002734F0" w:rsidP="002734F0">
      <w:pPr>
        <w:jc w:val="both"/>
      </w:pPr>
      <w:r>
        <w:t xml:space="preserve">Oltre a quanto previsto </w:t>
      </w:r>
      <w:r w:rsidRPr="00862B1C">
        <w:t>dai C.A.M.,</w:t>
      </w:r>
      <w:r>
        <w:t xml:space="preserve"> nell’ambito dei requisiti di disassemblabilità sarà necessario dimostrare che almeno il 70% in peso, calcolato rispetto al loro peso totale, dei rifiuti non pericolosi generati durante la costruzione e demolizione, ricadenti nel Capitolo 17, sia inviato a recupero (R1 – R13)</w:t>
      </w:r>
      <w:r w:rsidR="00382621">
        <w:rPr>
          <w:b/>
          <w:sz w:val="16"/>
          <w:szCs w:val="16"/>
        </w:rPr>
        <w:t>2</w:t>
      </w:r>
      <w:r>
        <w:t xml:space="preserve">. Gli elaborati progettuali </w:t>
      </w:r>
      <w:r>
        <w:lastRenderedPageBreak/>
        <w:t xml:space="preserve">relativi all’attività di cantiere dovranno inoltre prevedere soluzioni per incentivare il riutilizzo delle terre e rocce da scavo qualificate come sottoprodotti provenienti da cantieri non assoggettati a VIA. </w:t>
      </w:r>
    </w:p>
    <w:p w14:paraId="3C638E8A" w14:textId="77777777" w:rsidR="002734F0" w:rsidRDefault="002734F0" w:rsidP="002734F0">
      <w:pPr>
        <w:jc w:val="both"/>
      </w:pPr>
      <w:r>
        <w:t xml:space="preserve">L’Appaltatore dovrà, se necessario: </w:t>
      </w:r>
    </w:p>
    <w:p w14:paraId="52600818" w14:textId="77777777" w:rsidR="002734F0" w:rsidRDefault="002734F0" w:rsidP="002734F0">
      <w:pPr>
        <w:jc w:val="both"/>
      </w:pPr>
      <w:r>
        <w:t xml:space="preserve">- redigere il PGR nel quale saranno formulate le necessarie previsioni sulla tipologia dei rifiuti prodotti e le modalità gestionali sul trattamento degli stessi; </w:t>
      </w:r>
    </w:p>
    <w:p w14:paraId="492350E4" w14:textId="77777777" w:rsidR="002734F0" w:rsidRDefault="002734F0" w:rsidP="002734F0">
      <w:pPr>
        <w:jc w:val="both"/>
      </w:pPr>
      <w:r>
        <w:t xml:space="preserve">- redigere il piano di gestione delle rocce e terre da scavo, con lo sviluppo del bilancio materie. </w:t>
      </w:r>
    </w:p>
    <w:p w14:paraId="6AE3224D" w14:textId="77777777" w:rsidR="002734F0" w:rsidRDefault="002734F0" w:rsidP="002734F0">
      <w:pPr>
        <w:jc w:val="both"/>
      </w:pPr>
    </w:p>
    <w:p w14:paraId="26A7DE42" w14:textId="77777777" w:rsidR="002734F0" w:rsidRPr="00862B1C" w:rsidRDefault="002734F0" w:rsidP="002734F0">
      <w:pPr>
        <w:jc w:val="both"/>
      </w:pPr>
      <w:r w:rsidRPr="00862B1C">
        <w:t xml:space="preserve">OBIETTIVO 5: PREVENZIONE E RIDUZIONE DELL'INQUINAMENTO </w:t>
      </w:r>
    </w:p>
    <w:p w14:paraId="04B13C4A" w14:textId="77777777" w:rsidR="002734F0" w:rsidRPr="00862B1C" w:rsidRDefault="002734F0" w:rsidP="002734F0">
      <w:pPr>
        <w:jc w:val="both"/>
      </w:pPr>
    </w:p>
    <w:p w14:paraId="1E62990F" w14:textId="77777777" w:rsidR="002734F0" w:rsidRPr="00862B1C" w:rsidRDefault="002734F0" w:rsidP="002734F0">
      <w:pPr>
        <w:jc w:val="both"/>
      </w:pPr>
      <w:r w:rsidRPr="00862B1C">
        <w:t>SCHEDA 5 - Interventi edili e cantieristica generica</w:t>
      </w:r>
    </w:p>
    <w:p w14:paraId="47969470" w14:textId="4C724282" w:rsidR="002734F0" w:rsidRPr="00862B1C" w:rsidRDefault="002734F0" w:rsidP="002734F0">
      <w:pPr>
        <w:jc w:val="both"/>
      </w:pPr>
      <w:r w:rsidRPr="00862B1C">
        <w:t xml:space="preserve">La progettazione dell’intervento, secondo quanto descritto anche nei C.A.M., </w:t>
      </w:r>
      <w:r w:rsidR="005B77D6">
        <w:t>dovrà</w:t>
      </w:r>
      <w:r w:rsidR="00382621">
        <w:t xml:space="preserve"> </w:t>
      </w:r>
      <w:r w:rsidRPr="00862B1C">
        <w:t xml:space="preserve">garantire la prevenzione e la riduzione dell’inquinamento tenendo conto dei seguenti aspetti: </w:t>
      </w:r>
    </w:p>
    <w:p w14:paraId="76C96B2B" w14:textId="5E8D4233" w:rsidR="002734F0" w:rsidRPr="00862B1C" w:rsidRDefault="002734F0" w:rsidP="002734F0">
      <w:pPr>
        <w:jc w:val="both"/>
      </w:pPr>
      <w:r w:rsidRPr="00862B1C">
        <w:t xml:space="preserve">- corretta gestione ambientale dei terreni e delle acque di falda, ove presenti, svolgendo, per gli interventi da realizzarsi in aree superiori a 1.000 mq, una caratterizzazione preliminare del sito ai sensi del D.Lgs. n. 152/2006; - previsione di impiego di materiali in cantiere a basso impatto ambientale parzialmente o totalmente recuperabili al termine della loro vita utile (assicurando l’assenza delle sostanze estremamente preoccupanti ai sensi del REACH (Art.57); </w:t>
      </w:r>
    </w:p>
    <w:p w14:paraId="282152B3" w14:textId="77777777" w:rsidR="002734F0" w:rsidRPr="00862B1C" w:rsidRDefault="002734F0" w:rsidP="002734F0">
      <w:pPr>
        <w:jc w:val="both"/>
      </w:pPr>
      <w:r w:rsidRPr="00862B1C">
        <w:t xml:space="preserve">- modalità di svolgimento delle lavorazioni in cantiere con la pianificazione, controllo e monitoraggio delle fasi di demolizione e ricostruzione per la riduzione dell’impatto ambientale e con la redazione, ove previsto dalle normative regionali o nazionali, del Piano Ambientale di Cantierizzazione, PAC. </w:t>
      </w:r>
    </w:p>
    <w:p w14:paraId="216E5D18" w14:textId="77777777" w:rsidR="002734F0" w:rsidRPr="00862B1C" w:rsidRDefault="002734F0" w:rsidP="002734F0">
      <w:pPr>
        <w:jc w:val="both"/>
      </w:pPr>
      <w:r w:rsidRPr="00862B1C">
        <w:t xml:space="preserve">In sintesi, in fase progettuale, l’Appaltatore dovrà svolgere le seguenti attività; </w:t>
      </w:r>
    </w:p>
    <w:p w14:paraId="21F620CF" w14:textId="77777777" w:rsidR="002734F0" w:rsidRPr="00862B1C" w:rsidRDefault="002734F0" w:rsidP="002734F0">
      <w:pPr>
        <w:jc w:val="both"/>
      </w:pPr>
      <w:r w:rsidRPr="00862B1C">
        <w:t xml:space="preserve">- indicare le limitazioni delle caratteristiche di pericolo dei materiali in ingresso al cantiere; </w:t>
      </w:r>
    </w:p>
    <w:p w14:paraId="7A557CCA" w14:textId="77777777" w:rsidR="002734F0" w:rsidRPr="00862B1C" w:rsidRDefault="002734F0" w:rsidP="002734F0">
      <w:pPr>
        <w:jc w:val="both"/>
      </w:pPr>
      <w:r w:rsidRPr="00862B1C">
        <w:t xml:space="preserve">- redazione del PAC, ove previsto dalle normative regionali o nazionali; </w:t>
      </w:r>
    </w:p>
    <w:p w14:paraId="3CA1382F" w14:textId="77777777" w:rsidR="002734F0" w:rsidRPr="00862B1C" w:rsidRDefault="002734F0" w:rsidP="002734F0">
      <w:pPr>
        <w:jc w:val="both"/>
      </w:pPr>
      <w:r w:rsidRPr="00862B1C">
        <w:t>- verificare le eventuali attività preliminari di caratterizzazione dei terreni e delle acque di falda;</w:t>
      </w:r>
    </w:p>
    <w:p w14:paraId="0FF54502" w14:textId="77777777" w:rsidR="002734F0" w:rsidRPr="00862B1C" w:rsidRDefault="002734F0" w:rsidP="002734F0">
      <w:pPr>
        <w:jc w:val="both"/>
      </w:pPr>
      <w:r w:rsidRPr="00862B1C">
        <w:t xml:space="preserve">- indicare l’efficienza motoristica dei mezzi d’opera che dovranno essere impiegati in cantiere al fine del mantenimento dei requisiti definiti nella mitigazione del cambiamento climatico, della riduzione delle emissioni sonore; </w:t>
      </w:r>
    </w:p>
    <w:p w14:paraId="4F6520B6" w14:textId="77777777" w:rsidR="002734F0" w:rsidRPr="00862B1C" w:rsidRDefault="002734F0" w:rsidP="002734F0">
      <w:pPr>
        <w:jc w:val="both"/>
      </w:pPr>
      <w:r w:rsidRPr="00862B1C">
        <w:t xml:space="preserve">- se pertinente, presentazione della domanda per l’acquisizione della deroga ai limiti di rumorosità per i cantieri temporanei; </w:t>
      </w:r>
    </w:p>
    <w:p w14:paraId="75A4CECA" w14:textId="77777777" w:rsidR="002734F0" w:rsidRPr="00862B1C" w:rsidRDefault="002734F0" w:rsidP="002734F0">
      <w:pPr>
        <w:jc w:val="both"/>
      </w:pPr>
      <w:r w:rsidRPr="00862B1C">
        <w:t xml:space="preserve">- garantire il contenimento delle polveri tramite bagnatura delle aree di cantiere come prescritto nel PAC. </w:t>
      </w:r>
    </w:p>
    <w:p w14:paraId="4E9E1212" w14:textId="77777777" w:rsidR="002734F0" w:rsidRPr="00862B1C" w:rsidRDefault="002734F0" w:rsidP="002734F0">
      <w:pPr>
        <w:jc w:val="both"/>
      </w:pPr>
    </w:p>
    <w:p w14:paraId="21280B97" w14:textId="77777777" w:rsidR="002734F0" w:rsidRPr="00862B1C" w:rsidRDefault="002734F0" w:rsidP="002734F0">
      <w:pPr>
        <w:jc w:val="both"/>
      </w:pPr>
      <w:r w:rsidRPr="00862B1C">
        <w:t xml:space="preserve">OBIETTIVO 6: PROTEZIONE E RIPRISTINO DELLA BIODIVERSITÀ E DEGLI ECOSISTEMI – ove applicabile </w:t>
      </w:r>
    </w:p>
    <w:p w14:paraId="18516B89" w14:textId="77777777" w:rsidR="002734F0" w:rsidRPr="00862B1C" w:rsidRDefault="002734F0" w:rsidP="002734F0">
      <w:pPr>
        <w:jc w:val="both"/>
      </w:pPr>
    </w:p>
    <w:p w14:paraId="06972BC8" w14:textId="6C317704" w:rsidR="002734F0" w:rsidRPr="00862B1C" w:rsidRDefault="002734F0" w:rsidP="002734F0">
      <w:pPr>
        <w:jc w:val="both"/>
      </w:pPr>
      <w:r w:rsidRPr="00862B1C">
        <w:t xml:space="preserve">SCHEDA 5 - Interventi edili e cantieristica generica </w:t>
      </w:r>
    </w:p>
    <w:p w14:paraId="7077564B" w14:textId="77777777" w:rsidR="002734F0" w:rsidRPr="00862B1C" w:rsidRDefault="002734F0" w:rsidP="002734F0">
      <w:pPr>
        <w:jc w:val="both"/>
      </w:pPr>
      <w:r w:rsidRPr="00862B1C">
        <w:t xml:space="preserve">La progettazione delle attività relative al cantiere dovrà garantire la protezione della biodiversità e delle aree di pregio. Inoltre, in fase progettuale l’Appaltatore sarà tenuto a: </w:t>
      </w:r>
    </w:p>
    <w:p w14:paraId="2D3675C1" w14:textId="77777777" w:rsidR="002734F0" w:rsidRPr="00862B1C" w:rsidRDefault="002734F0" w:rsidP="002734F0">
      <w:pPr>
        <w:jc w:val="both"/>
      </w:pPr>
      <w:r w:rsidRPr="00862B1C">
        <w:t>- verificare che la localizzazione dell’opera e delle aree di cantiere non siano all’interno delle aree di pregio;</w:t>
      </w:r>
    </w:p>
    <w:p w14:paraId="1D50465B" w14:textId="77777777" w:rsidR="002734F0" w:rsidRPr="00862B1C" w:rsidRDefault="002734F0" w:rsidP="002734F0">
      <w:pPr>
        <w:jc w:val="both"/>
      </w:pPr>
      <w:r w:rsidRPr="00862B1C">
        <w:t>- per gli interventi situati in aree sensibili sotto il profilo della biodiversità o in prossimità di esse, fermo restando le aree di divieto, verificare la sussistenza di sensibilità territoriali, in particolare in relazione alla presenza di Habitat e Specie di cui all’Allegato I e II della Direttiva Habitat e Allegato I alla Direttiva Uccelli, nonché alla presenza di habitat e specie indicati come “in pericolo” dalle Liste rosse (italiana e/o europea).</w:t>
      </w:r>
    </w:p>
    <w:p w14:paraId="2BA7D159" w14:textId="40AFC226" w:rsidR="002734F0" w:rsidRPr="00862B1C" w:rsidRDefault="002734F0" w:rsidP="002734F0">
      <w:pPr>
        <w:jc w:val="both"/>
      </w:pPr>
      <w:r w:rsidRPr="00862B1C">
        <w:t>- verifica dei consumi di legno con definizione delle previste condizioni di impiego (Certificazioni FSC/PEFC o altra certificazione equivalente per il legno vergine</w:t>
      </w:r>
      <w:r w:rsidR="002352D4">
        <w:t>)</w:t>
      </w:r>
      <w:r w:rsidRPr="00862B1C">
        <w:t>.</w:t>
      </w:r>
    </w:p>
    <w:p w14:paraId="60171753" w14:textId="77777777" w:rsidR="002734F0" w:rsidRDefault="002734F0" w:rsidP="002734F0">
      <w:pPr>
        <w:jc w:val="both"/>
      </w:pPr>
      <w:r w:rsidRPr="00862B1C">
        <w:t>- laddove sia ipotizzabile un’incidenza diretta o indiretta sui siti della Rete Natura 2000 sarà necessario sottoporre l’intervento a Valutazione di Incidenza (decreto del Presidente della Repubblica, 8 settembre 1997, n.357).</w:t>
      </w:r>
    </w:p>
    <w:p w14:paraId="70E6BCBE" w14:textId="77777777" w:rsidR="002734F0" w:rsidRDefault="002734F0" w:rsidP="002734F0"/>
    <w:p w14:paraId="5EE3ACF3" w14:textId="77777777" w:rsidR="002734F0" w:rsidRDefault="002734F0" w:rsidP="002734F0">
      <w:pPr>
        <w:jc w:val="both"/>
      </w:pPr>
      <w:r>
        <w:t>Oltre agli obblighi sopra elencati ai fini del rispetto dei vincoli DNSH, l’Appaltatore sarà tenuto altresì al rispetto di tutta la normativa applicabile, in ambito comunitario e nazionale, richiamata in calce alle Schede Tecniche su richiamata di cui all’Allegato “Guida Operativa per il rispetto del Principio di non arrecare danno significativo all’ambiente (cd. DNSH)” alla Circolare del 30 dicembre 2021, n. 32 emanata dal Ministero dell’Economia e delle Finanze (MEF) – Dipartimento della Ragioneria Generale dello Stato (RGS).</w:t>
      </w:r>
    </w:p>
    <w:p w14:paraId="5F6EBDB8" w14:textId="77777777" w:rsidR="002734F0" w:rsidRDefault="002734F0" w:rsidP="002734F0">
      <w:pPr>
        <w:jc w:val="both"/>
        <w:rPr>
          <w:u w:val="single"/>
        </w:rPr>
      </w:pPr>
    </w:p>
    <w:p w14:paraId="367114B6" w14:textId="77777777" w:rsidR="002734F0" w:rsidRDefault="002734F0" w:rsidP="002734F0">
      <w:pPr>
        <w:jc w:val="both"/>
        <w:rPr>
          <w:u w:val="single"/>
        </w:rPr>
      </w:pPr>
      <w:r>
        <w:rPr>
          <w:u w:val="single"/>
        </w:rPr>
        <w:t xml:space="preserve">Verifica del rispetto del principio DNSH da parte dell’Appaltatore </w:t>
      </w:r>
    </w:p>
    <w:p w14:paraId="2B344DEE" w14:textId="530B90E1" w:rsidR="002734F0" w:rsidRDefault="002734F0" w:rsidP="002734F0">
      <w:pPr>
        <w:jc w:val="both"/>
      </w:pPr>
      <w:r>
        <w:lastRenderedPageBreak/>
        <w:t>Al fine di consentire la verifica del rispetto del principio DNSH, il Soggetto Attuatore procederà alla compilazione delle check list di controllo relative alle Schede 18 e 5 allegate alla “Guida Operativa per il rispetto del Principio di non arrecare danno significativo all’ambiente (cd. DNSH)” che riporta quanto segue</w:t>
      </w:r>
      <w:r w:rsidR="00382621">
        <w:t>:</w:t>
      </w:r>
    </w:p>
    <w:p w14:paraId="109E65B3" w14:textId="77777777" w:rsidR="002734F0" w:rsidRDefault="002734F0" w:rsidP="002734F0">
      <w:pPr>
        <w:jc w:val="both"/>
        <w:rPr>
          <w:i/>
        </w:rPr>
      </w:pPr>
      <w:r>
        <w:rPr>
          <w:i/>
        </w:rPr>
        <w:t xml:space="preserve"> “(u)na sintesi dei controlli richiesti per dimostrare la conformità ai principi DNSH è riportata nelle apposite check list. Ciascuna Scheda è infatti accompagnata da una check list di verifica e controllo, che riassume in modo sintetico i principali elementi di verifica richiesti nella corrispondente Scheda. Ogni check list, quindi, è strutturata in più punti di controllo, a cui sono associate tre risposte possibili (si/no/n.a.) e a cui è stato aggiunto un campo note al fine di consentire alle Amministrazioni di proporre le loro osservazioni qualora ritenessero le opzioni proposte non esaustive. Per le schede tecniche che descrivono attività economiche in cui è presente il doppio regime, contributo sostanziale o semplice DNSH, la checklist contiene, diversificandoli, i rispettivi elementi di verifica. Le check list con la sintesi dei controlli potranno essere utilizzate anche per quegli interventi già avviati prima dell’approvazione del PNRR (i cd. “progetti in essere”), al fine di verificare la sussistenza di quegli elementi tassonomici che rendono un intervento conforme al principio DNSH e pertanto ammissibile nella rendicontazione connessa con il Piano.” </w:t>
      </w:r>
      <w:r>
        <w:t xml:space="preserve"> </w:t>
      </w:r>
    </w:p>
    <w:p w14:paraId="27B04D62" w14:textId="31B802A6" w:rsidR="002734F0" w:rsidRDefault="002734F0" w:rsidP="002734F0">
      <w:pPr>
        <w:jc w:val="both"/>
      </w:pPr>
      <w:r>
        <w:t>Pertanto, l’Appaltatore, su richiesta ed entro le tempistiche indicate dal Soggetto Attuatore, sarà tenuto a fornire a quest’ultimo gli elementi di controllo utili al conseguimento con esito positivo della verifica dallo stesso condotta in base alle check list relative alle Schede Tecniche 5, e delle eventuali ulteriori schede individuate, per le attività di competenza dell’Appaltatore stesso.</w:t>
      </w:r>
    </w:p>
    <w:p w14:paraId="31957BC6" w14:textId="77777777" w:rsidR="002734F0" w:rsidRDefault="002734F0" w:rsidP="002734F0">
      <w:pPr>
        <w:jc w:val="both"/>
      </w:pPr>
      <w:r>
        <w:t>In particolare, l’Appaltatore sarà tenuto a rilasciare, ai sensi degli articoli 46, 47 e 76 del D.P.R. 28 dicembre 2000, n. 445, una specifica dichiarazione di risposta ai corrispondenti punti di controllo, delle check list innanzi richiamate, che riguarda le attività di competenza dell’Appaltatore stesso, fornendo, laddove necessario, documenti giustificativi a comprova di quanto dichiarato. Sarà inoltre onere dell’Appaltatore conservare tutta documentazione di supporto e di comprova di quanto dichiarato, che potrà essere richiesta dal Soggetto Attuatore ai fini della compilazione, da parte dello stesso, delle check list anzidette ovvero nell’ambito di verifiche/audit da parte dell’Amministrazione.</w:t>
      </w:r>
    </w:p>
    <w:p w14:paraId="4EBA263B" w14:textId="77777777" w:rsidR="002734F0" w:rsidRDefault="002734F0" w:rsidP="002734F0">
      <w:pPr>
        <w:jc w:val="both"/>
      </w:pPr>
      <w:r>
        <w:t xml:space="preserve">Il mancato rispetto delle condizioni per la compliance al principio DNSH, attestato a seguito dei monitoraggi e delle verifiche svolte o richieste dal Soggetto Attuatore e/o dall’Amministrazione, oltre all’applicazione delle penali nella misura stabilita nel Contratto Specifico, costituisce causa di risoluzione di diritto dello stesso Contratto Specifico ai sensi dell’articolo 1456 del Codice Civile. </w:t>
      </w:r>
    </w:p>
    <w:p w14:paraId="2B27EB47" w14:textId="77777777" w:rsidR="00382621" w:rsidRDefault="00382621" w:rsidP="002734F0">
      <w:pPr>
        <w:jc w:val="both"/>
      </w:pPr>
    </w:p>
    <w:p w14:paraId="7FE82347" w14:textId="0679AE91" w:rsidR="00382621" w:rsidRPr="00382621" w:rsidRDefault="00382621" w:rsidP="00382621">
      <w:pPr>
        <w:spacing w:before="1"/>
        <w:ind w:right="-8"/>
        <w:jc w:val="both"/>
        <w:rPr>
          <w:sz w:val="18"/>
          <w:szCs w:val="18"/>
        </w:rPr>
      </w:pPr>
      <w:r w:rsidRPr="00382621">
        <w:rPr>
          <w:sz w:val="18"/>
          <w:szCs w:val="18"/>
        </w:rPr>
        <w:t>1 - Si chiarisce che per Campo Base si intende un’area di cantiere di dimensioni rile</w:t>
      </w:r>
      <w:r>
        <w:rPr>
          <w:sz w:val="18"/>
          <w:szCs w:val="18"/>
        </w:rPr>
        <w:t xml:space="preserve">vanti che non si limita ai soli </w:t>
      </w:r>
      <w:r w:rsidRPr="00382621">
        <w:rPr>
          <w:sz w:val="18"/>
          <w:szCs w:val="18"/>
        </w:rPr>
        <w:t>baraccamenti (e.g. Container alloggi, mensa, bagni ecc.)</w:t>
      </w:r>
    </w:p>
    <w:p w14:paraId="079E536E" w14:textId="50E53275" w:rsidR="00382621" w:rsidRPr="00382621" w:rsidRDefault="00382621" w:rsidP="00382621">
      <w:pPr>
        <w:spacing w:before="1"/>
        <w:ind w:right="-8"/>
        <w:jc w:val="both"/>
        <w:rPr>
          <w:sz w:val="18"/>
          <w:szCs w:val="18"/>
        </w:rPr>
      </w:pPr>
      <w:r>
        <w:rPr>
          <w:sz w:val="18"/>
          <w:szCs w:val="18"/>
        </w:rPr>
        <w:t>2</w:t>
      </w:r>
      <w:r w:rsidRPr="00382621">
        <w:rPr>
          <w:sz w:val="18"/>
          <w:szCs w:val="18"/>
        </w:rPr>
        <w:t xml:space="preserve"> - ALLEGATO II B - DIRETTIVA 2006/12/CE del Parlamento Europeo e del Consiglio del 5 aprile 2006 relativa ai rifiuti.</w:t>
      </w:r>
    </w:p>
    <w:p w14:paraId="709FFC78" w14:textId="77777777" w:rsidR="002734F0" w:rsidRDefault="002734F0" w:rsidP="002734F0">
      <w:pPr>
        <w:pStyle w:val="Corpotesto"/>
        <w:spacing w:before="91"/>
      </w:pPr>
    </w:p>
    <w:p w14:paraId="2CA11B37" w14:textId="0D6B9E7E" w:rsidR="002734F0" w:rsidRDefault="00361CA5" w:rsidP="002734F0">
      <w:pPr>
        <w:pStyle w:val="Corpotesto"/>
        <w:spacing w:before="91"/>
      </w:pPr>
      <w:r>
        <w:t>__</w:t>
      </w:r>
      <w:r w:rsidR="00BF0B82">
        <w:t>/</w:t>
      </w:r>
      <w:r>
        <w:t>__</w:t>
      </w:r>
      <w:r w:rsidR="00BF0B82">
        <w:t>/</w:t>
      </w:r>
      <w:r>
        <w:t>____</w:t>
      </w:r>
    </w:p>
    <w:p w14:paraId="3B9DE4B9" w14:textId="77777777" w:rsidR="002734F0" w:rsidRDefault="002734F0" w:rsidP="002734F0">
      <w:pPr>
        <w:pStyle w:val="Corpotesto"/>
        <w:spacing w:before="91"/>
      </w:pPr>
    </w:p>
    <w:p w14:paraId="2A7A44A4" w14:textId="77777777" w:rsidR="00AE763D" w:rsidRPr="00AE763D" w:rsidRDefault="00AE763D" w:rsidP="00AE763D">
      <w:pPr>
        <w:pStyle w:val="Corpotesto"/>
        <w:spacing w:before="91"/>
        <w:jc w:val="both"/>
        <w:rPr>
          <w:sz w:val="24"/>
        </w:rPr>
      </w:pPr>
      <w:r w:rsidRPr="00AE763D">
        <w:rPr>
          <w:sz w:val="24"/>
        </w:rPr>
        <w:t xml:space="preserve">                                                                                                   [firmato digitalmente]</w:t>
      </w:r>
    </w:p>
    <w:p w14:paraId="4D18DC90" w14:textId="7EAB6424" w:rsidR="002734F0" w:rsidRDefault="002352D4" w:rsidP="00AE763D">
      <w:pPr>
        <w:pStyle w:val="Corpotesto"/>
        <w:spacing w:before="91"/>
        <w:ind w:left="3733" w:firstLine="587"/>
        <w:jc w:val="center"/>
        <w:rPr>
          <w:rFonts w:ascii="Arial"/>
          <w:sz w:val="20"/>
        </w:rPr>
      </w:pPr>
      <w:r>
        <w:rPr>
          <w:sz w:val="24"/>
        </w:rPr>
        <w:t>____________________</w:t>
      </w:r>
    </w:p>
    <w:sectPr w:rsidR="002734F0" w:rsidSect="002335E3">
      <w:headerReference w:type="default" r:id="rId10"/>
      <w:footerReference w:type="default" r:id="rId11"/>
      <w:pgSz w:w="11910" w:h="16850"/>
      <w:pgMar w:top="1060" w:right="1137" w:bottom="1134"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F135" w14:textId="77777777" w:rsidR="005113B4" w:rsidRDefault="005113B4">
      <w:r>
        <w:separator/>
      </w:r>
    </w:p>
  </w:endnote>
  <w:endnote w:type="continuationSeparator" w:id="0">
    <w:p w14:paraId="394A6350" w14:textId="77777777" w:rsidR="005113B4" w:rsidRDefault="0051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58D5" w14:textId="4F709977" w:rsidR="003906F8" w:rsidRDefault="002734F0">
    <w:pPr>
      <w:pStyle w:val="Corpotesto"/>
      <w:spacing w:line="14" w:lineRule="auto"/>
      <w:rPr>
        <w:sz w:val="16"/>
      </w:rPr>
    </w:pPr>
    <w:r>
      <w:rPr>
        <w:noProof/>
        <w:lang w:eastAsia="it-IT"/>
      </w:rPr>
      <mc:AlternateContent>
        <mc:Choice Requires="wps">
          <w:drawing>
            <wp:anchor distT="0" distB="0" distL="114300" distR="114300" simplePos="0" relativeHeight="251657728" behindDoc="1" locked="0" layoutInCell="1" allowOverlap="1" wp14:anchorId="71A9DA7D" wp14:editId="7AB36683">
              <wp:simplePos x="0" y="0"/>
              <wp:positionH relativeFrom="page">
                <wp:posOffset>3711575</wp:posOffset>
              </wp:positionH>
              <wp:positionV relativeFrom="page">
                <wp:posOffset>10050145</wp:posOffset>
              </wp:positionV>
              <wp:extent cx="139700" cy="165735"/>
              <wp:effectExtent l="0" t="0" r="12700" b="571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wps:spPr>
                    <wps:txbx>
                      <w:txbxContent>
                        <w:p w14:paraId="1C2FD736" w14:textId="77777777" w:rsidR="003906F8" w:rsidRDefault="003906F8">
                          <w:pPr>
                            <w:pStyle w:val="Corpotesto"/>
                            <w:spacing w:before="10"/>
                            <w:ind w:left="60"/>
                          </w:pPr>
                          <w:r>
                            <w:fldChar w:fldCharType="begin"/>
                          </w:r>
                          <w:r>
                            <w:rPr>
                              <w:w w:val="99"/>
                            </w:rPr>
                            <w:instrText xml:space="preserve"> PAGE </w:instrText>
                          </w:r>
                          <w:r>
                            <w:fldChar w:fldCharType="separate"/>
                          </w:r>
                          <w:r w:rsidR="00897CA0">
                            <w:rPr>
                              <w:noProof/>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9DA7D" id="_x0000_t202" coordsize="21600,21600" o:spt="202" path="m,l,21600r21600,l21600,xe">
              <v:stroke joinstyle="miter"/>
              <v:path gradientshapeok="t" o:connecttype="rect"/>
            </v:shapetype>
            <v:shape id="Casella di testo 2" o:spid="_x0000_s1026" type="#_x0000_t202" style="position:absolute;left:0;text-align:left;margin-left:292.25pt;margin-top:791.3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" filled="f" stroked="f">
              <v:textbox inset="0,0,0,0">
                <w:txbxContent>
                  <w:p w14:paraId="1C2FD736" w14:textId="77777777" w:rsidR="003906F8" w:rsidRDefault="003906F8">
                    <w:pPr>
                      <w:pStyle w:val="Corpotesto"/>
                      <w:spacing w:before="10"/>
                      <w:ind w:left="60"/>
                    </w:pPr>
                    <w:r>
                      <w:fldChar w:fldCharType="begin"/>
                    </w:r>
                    <w:r>
                      <w:rPr>
                        <w:w w:val="99"/>
                      </w:rPr>
                      <w:instrText xml:space="preserve"> PAGE </w:instrText>
                    </w:r>
                    <w:r>
                      <w:fldChar w:fldCharType="separate"/>
                    </w:r>
                    <w:r w:rsidR="00897CA0">
                      <w:rPr>
                        <w:noProof/>
                        <w:w w:val="99"/>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31EF" w14:textId="77777777" w:rsidR="005113B4" w:rsidRDefault="005113B4">
      <w:r>
        <w:separator/>
      </w:r>
    </w:p>
  </w:footnote>
  <w:footnote w:type="continuationSeparator" w:id="0">
    <w:p w14:paraId="01DB641F" w14:textId="77777777" w:rsidR="005113B4" w:rsidRDefault="0051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1BFB" w14:textId="3CA25DC0" w:rsidR="00841097" w:rsidRDefault="00841097" w:rsidP="00841097">
    <w:pPr>
      <w:pStyle w:val="Intestazione"/>
      <w:jc w:val="center"/>
    </w:pPr>
  </w:p>
  <w:p w14:paraId="2427F6E3" w14:textId="77777777" w:rsidR="00841097" w:rsidRDefault="00841097" w:rsidP="00841097">
    <w:pPr>
      <w:pStyle w:val="Intestazione"/>
      <w:jc w:val="center"/>
    </w:pPr>
  </w:p>
  <w:p w14:paraId="643F5761" w14:textId="0473355C" w:rsidR="00841097" w:rsidRDefault="00841097" w:rsidP="00841097">
    <w:pPr>
      <w:pStyle w:val="Intestazione"/>
      <w:jc w:val="center"/>
    </w:pPr>
  </w:p>
  <w:p w14:paraId="68ECDCF1" w14:textId="77777777" w:rsidR="00841097" w:rsidRDefault="00841097" w:rsidP="0084109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869"/>
    <w:multiLevelType w:val="hybridMultilevel"/>
    <w:tmpl w:val="A25C4BA2"/>
    <w:lvl w:ilvl="0" w:tplc="17207D46">
      <w:numFmt w:val="bullet"/>
      <w:lvlText w:val="-"/>
      <w:lvlJc w:val="left"/>
      <w:pPr>
        <w:ind w:left="666" w:hanging="567"/>
      </w:pPr>
      <w:rPr>
        <w:rFonts w:ascii="Times New Roman" w:eastAsia="Times New Roman" w:hAnsi="Times New Roman" w:cs="Times New Roman" w:hint="default"/>
        <w:w w:val="99"/>
        <w:sz w:val="20"/>
        <w:szCs w:val="20"/>
        <w:lang w:val="it-IT" w:eastAsia="it-IT" w:bidi="it-IT"/>
      </w:rPr>
    </w:lvl>
    <w:lvl w:ilvl="1" w:tplc="60D42DF8">
      <w:numFmt w:val="bullet"/>
      <w:lvlText w:val="•"/>
      <w:lvlJc w:val="left"/>
      <w:pPr>
        <w:ind w:left="1605" w:hanging="567"/>
      </w:pPr>
      <w:rPr>
        <w:rFonts w:hint="default"/>
        <w:lang w:val="it-IT" w:eastAsia="it-IT" w:bidi="it-IT"/>
      </w:rPr>
    </w:lvl>
    <w:lvl w:ilvl="2" w:tplc="CA4C5F44">
      <w:numFmt w:val="bullet"/>
      <w:lvlText w:val="•"/>
      <w:lvlJc w:val="left"/>
      <w:pPr>
        <w:ind w:left="2551" w:hanging="567"/>
      </w:pPr>
      <w:rPr>
        <w:rFonts w:hint="default"/>
        <w:lang w:val="it-IT" w:eastAsia="it-IT" w:bidi="it-IT"/>
      </w:rPr>
    </w:lvl>
    <w:lvl w:ilvl="3" w:tplc="39F004F4">
      <w:numFmt w:val="bullet"/>
      <w:lvlText w:val="•"/>
      <w:lvlJc w:val="left"/>
      <w:pPr>
        <w:ind w:left="3497" w:hanging="567"/>
      </w:pPr>
      <w:rPr>
        <w:rFonts w:hint="default"/>
        <w:lang w:val="it-IT" w:eastAsia="it-IT" w:bidi="it-IT"/>
      </w:rPr>
    </w:lvl>
    <w:lvl w:ilvl="4" w:tplc="81A2825E">
      <w:numFmt w:val="bullet"/>
      <w:lvlText w:val="•"/>
      <w:lvlJc w:val="left"/>
      <w:pPr>
        <w:ind w:left="4443" w:hanging="567"/>
      </w:pPr>
      <w:rPr>
        <w:rFonts w:hint="default"/>
        <w:lang w:val="it-IT" w:eastAsia="it-IT" w:bidi="it-IT"/>
      </w:rPr>
    </w:lvl>
    <w:lvl w:ilvl="5" w:tplc="F16E9C7C">
      <w:numFmt w:val="bullet"/>
      <w:lvlText w:val="•"/>
      <w:lvlJc w:val="left"/>
      <w:pPr>
        <w:ind w:left="5389" w:hanging="567"/>
      </w:pPr>
      <w:rPr>
        <w:rFonts w:hint="default"/>
        <w:lang w:val="it-IT" w:eastAsia="it-IT" w:bidi="it-IT"/>
      </w:rPr>
    </w:lvl>
    <w:lvl w:ilvl="6" w:tplc="DD4AF4F6">
      <w:numFmt w:val="bullet"/>
      <w:lvlText w:val="•"/>
      <w:lvlJc w:val="left"/>
      <w:pPr>
        <w:ind w:left="6335" w:hanging="567"/>
      </w:pPr>
      <w:rPr>
        <w:rFonts w:hint="default"/>
        <w:lang w:val="it-IT" w:eastAsia="it-IT" w:bidi="it-IT"/>
      </w:rPr>
    </w:lvl>
    <w:lvl w:ilvl="7" w:tplc="1C3C89D4">
      <w:numFmt w:val="bullet"/>
      <w:lvlText w:val="•"/>
      <w:lvlJc w:val="left"/>
      <w:pPr>
        <w:ind w:left="7281" w:hanging="567"/>
      </w:pPr>
      <w:rPr>
        <w:rFonts w:hint="default"/>
        <w:lang w:val="it-IT" w:eastAsia="it-IT" w:bidi="it-IT"/>
      </w:rPr>
    </w:lvl>
    <w:lvl w:ilvl="8" w:tplc="FC20F4FC">
      <w:numFmt w:val="bullet"/>
      <w:lvlText w:val="•"/>
      <w:lvlJc w:val="left"/>
      <w:pPr>
        <w:ind w:left="8227" w:hanging="567"/>
      </w:pPr>
      <w:rPr>
        <w:rFonts w:hint="default"/>
        <w:lang w:val="it-IT" w:eastAsia="it-IT" w:bidi="it-IT"/>
      </w:rPr>
    </w:lvl>
  </w:abstractNum>
  <w:abstractNum w:abstractNumId="1" w15:restartNumberingAfterBreak="0">
    <w:nsid w:val="138D32F8"/>
    <w:multiLevelType w:val="hybridMultilevel"/>
    <w:tmpl w:val="4398AD48"/>
    <w:lvl w:ilvl="0" w:tplc="5654322C">
      <w:numFmt w:val="bullet"/>
      <w:lvlText w:val=""/>
      <w:lvlJc w:val="left"/>
      <w:pPr>
        <w:ind w:left="383" w:hanging="284"/>
      </w:pPr>
      <w:rPr>
        <w:rFonts w:ascii="Wingdings 2" w:eastAsia="Wingdings 2" w:hAnsi="Wingdings 2" w:cs="Wingdings 2" w:hint="default"/>
        <w:w w:val="76"/>
        <w:sz w:val="20"/>
        <w:szCs w:val="20"/>
        <w:lang w:val="it-IT" w:eastAsia="it-IT" w:bidi="it-IT"/>
      </w:rPr>
    </w:lvl>
    <w:lvl w:ilvl="1" w:tplc="45E000A6">
      <w:numFmt w:val="bullet"/>
      <w:lvlText w:val="•"/>
      <w:lvlJc w:val="left"/>
      <w:pPr>
        <w:ind w:left="1353" w:hanging="284"/>
      </w:pPr>
      <w:rPr>
        <w:rFonts w:hint="default"/>
        <w:lang w:val="it-IT" w:eastAsia="it-IT" w:bidi="it-IT"/>
      </w:rPr>
    </w:lvl>
    <w:lvl w:ilvl="2" w:tplc="3AC04F3C">
      <w:numFmt w:val="bullet"/>
      <w:lvlText w:val="•"/>
      <w:lvlJc w:val="left"/>
      <w:pPr>
        <w:ind w:left="2327" w:hanging="284"/>
      </w:pPr>
      <w:rPr>
        <w:rFonts w:hint="default"/>
        <w:lang w:val="it-IT" w:eastAsia="it-IT" w:bidi="it-IT"/>
      </w:rPr>
    </w:lvl>
    <w:lvl w:ilvl="3" w:tplc="385A4C88">
      <w:numFmt w:val="bullet"/>
      <w:lvlText w:val="•"/>
      <w:lvlJc w:val="left"/>
      <w:pPr>
        <w:ind w:left="3301" w:hanging="284"/>
      </w:pPr>
      <w:rPr>
        <w:rFonts w:hint="default"/>
        <w:lang w:val="it-IT" w:eastAsia="it-IT" w:bidi="it-IT"/>
      </w:rPr>
    </w:lvl>
    <w:lvl w:ilvl="4" w:tplc="79148272">
      <w:numFmt w:val="bullet"/>
      <w:lvlText w:val="•"/>
      <w:lvlJc w:val="left"/>
      <w:pPr>
        <w:ind w:left="4275" w:hanging="284"/>
      </w:pPr>
      <w:rPr>
        <w:rFonts w:hint="default"/>
        <w:lang w:val="it-IT" w:eastAsia="it-IT" w:bidi="it-IT"/>
      </w:rPr>
    </w:lvl>
    <w:lvl w:ilvl="5" w:tplc="F0629914">
      <w:numFmt w:val="bullet"/>
      <w:lvlText w:val="•"/>
      <w:lvlJc w:val="left"/>
      <w:pPr>
        <w:ind w:left="5249" w:hanging="284"/>
      </w:pPr>
      <w:rPr>
        <w:rFonts w:hint="default"/>
        <w:lang w:val="it-IT" w:eastAsia="it-IT" w:bidi="it-IT"/>
      </w:rPr>
    </w:lvl>
    <w:lvl w:ilvl="6" w:tplc="2B9C462A">
      <w:numFmt w:val="bullet"/>
      <w:lvlText w:val="•"/>
      <w:lvlJc w:val="left"/>
      <w:pPr>
        <w:ind w:left="6223" w:hanging="284"/>
      </w:pPr>
      <w:rPr>
        <w:rFonts w:hint="default"/>
        <w:lang w:val="it-IT" w:eastAsia="it-IT" w:bidi="it-IT"/>
      </w:rPr>
    </w:lvl>
    <w:lvl w:ilvl="7" w:tplc="2B3ABFEE">
      <w:numFmt w:val="bullet"/>
      <w:lvlText w:val="•"/>
      <w:lvlJc w:val="left"/>
      <w:pPr>
        <w:ind w:left="7197" w:hanging="284"/>
      </w:pPr>
      <w:rPr>
        <w:rFonts w:hint="default"/>
        <w:lang w:val="it-IT" w:eastAsia="it-IT" w:bidi="it-IT"/>
      </w:rPr>
    </w:lvl>
    <w:lvl w:ilvl="8" w:tplc="7DF833DE">
      <w:numFmt w:val="bullet"/>
      <w:lvlText w:val="•"/>
      <w:lvlJc w:val="left"/>
      <w:pPr>
        <w:ind w:left="8171" w:hanging="284"/>
      </w:pPr>
      <w:rPr>
        <w:rFonts w:hint="default"/>
        <w:lang w:val="it-IT" w:eastAsia="it-IT" w:bidi="it-IT"/>
      </w:rPr>
    </w:lvl>
  </w:abstractNum>
  <w:abstractNum w:abstractNumId="2" w15:restartNumberingAfterBreak="0">
    <w:nsid w:val="26E97566"/>
    <w:multiLevelType w:val="hybridMultilevel"/>
    <w:tmpl w:val="17E8706C"/>
    <w:lvl w:ilvl="0" w:tplc="3A44CE20">
      <w:numFmt w:val="bullet"/>
      <w:lvlText w:val=""/>
      <w:lvlJc w:val="left"/>
      <w:pPr>
        <w:ind w:left="808" w:hanging="281"/>
      </w:pPr>
      <w:rPr>
        <w:rFonts w:ascii="Wingdings" w:eastAsia="Wingdings" w:hAnsi="Wingdings" w:cs="Wingdings" w:hint="default"/>
        <w:w w:val="99"/>
        <w:sz w:val="20"/>
        <w:szCs w:val="20"/>
        <w:lang w:val="it-IT" w:eastAsia="it-IT" w:bidi="it-IT"/>
      </w:rPr>
    </w:lvl>
    <w:lvl w:ilvl="1" w:tplc="4DC296F2">
      <w:numFmt w:val="bullet"/>
      <w:lvlText w:val="•"/>
      <w:lvlJc w:val="left"/>
      <w:pPr>
        <w:ind w:left="1731" w:hanging="281"/>
      </w:pPr>
      <w:rPr>
        <w:rFonts w:hint="default"/>
        <w:lang w:val="it-IT" w:eastAsia="it-IT" w:bidi="it-IT"/>
      </w:rPr>
    </w:lvl>
    <w:lvl w:ilvl="2" w:tplc="30081E32">
      <w:numFmt w:val="bullet"/>
      <w:lvlText w:val="•"/>
      <w:lvlJc w:val="left"/>
      <w:pPr>
        <w:ind w:left="2663" w:hanging="281"/>
      </w:pPr>
      <w:rPr>
        <w:rFonts w:hint="default"/>
        <w:lang w:val="it-IT" w:eastAsia="it-IT" w:bidi="it-IT"/>
      </w:rPr>
    </w:lvl>
    <w:lvl w:ilvl="3" w:tplc="D7403AEE">
      <w:numFmt w:val="bullet"/>
      <w:lvlText w:val="•"/>
      <w:lvlJc w:val="left"/>
      <w:pPr>
        <w:ind w:left="3595" w:hanging="281"/>
      </w:pPr>
      <w:rPr>
        <w:rFonts w:hint="default"/>
        <w:lang w:val="it-IT" w:eastAsia="it-IT" w:bidi="it-IT"/>
      </w:rPr>
    </w:lvl>
    <w:lvl w:ilvl="4" w:tplc="19BE0DDE">
      <w:numFmt w:val="bullet"/>
      <w:lvlText w:val="•"/>
      <w:lvlJc w:val="left"/>
      <w:pPr>
        <w:ind w:left="4527" w:hanging="281"/>
      </w:pPr>
      <w:rPr>
        <w:rFonts w:hint="default"/>
        <w:lang w:val="it-IT" w:eastAsia="it-IT" w:bidi="it-IT"/>
      </w:rPr>
    </w:lvl>
    <w:lvl w:ilvl="5" w:tplc="60D0928A">
      <w:numFmt w:val="bullet"/>
      <w:lvlText w:val="•"/>
      <w:lvlJc w:val="left"/>
      <w:pPr>
        <w:ind w:left="5459" w:hanging="281"/>
      </w:pPr>
      <w:rPr>
        <w:rFonts w:hint="default"/>
        <w:lang w:val="it-IT" w:eastAsia="it-IT" w:bidi="it-IT"/>
      </w:rPr>
    </w:lvl>
    <w:lvl w:ilvl="6" w:tplc="6180BF9E">
      <w:numFmt w:val="bullet"/>
      <w:lvlText w:val="•"/>
      <w:lvlJc w:val="left"/>
      <w:pPr>
        <w:ind w:left="6391" w:hanging="281"/>
      </w:pPr>
      <w:rPr>
        <w:rFonts w:hint="default"/>
        <w:lang w:val="it-IT" w:eastAsia="it-IT" w:bidi="it-IT"/>
      </w:rPr>
    </w:lvl>
    <w:lvl w:ilvl="7" w:tplc="C172C46C">
      <w:numFmt w:val="bullet"/>
      <w:lvlText w:val="•"/>
      <w:lvlJc w:val="left"/>
      <w:pPr>
        <w:ind w:left="7323" w:hanging="281"/>
      </w:pPr>
      <w:rPr>
        <w:rFonts w:hint="default"/>
        <w:lang w:val="it-IT" w:eastAsia="it-IT" w:bidi="it-IT"/>
      </w:rPr>
    </w:lvl>
    <w:lvl w:ilvl="8" w:tplc="FD9A893A">
      <w:numFmt w:val="bullet"/>
      <w:lvlText w:val="•"/>
      <w:lvlJc w:val="left"/>
      <w:pPr>
        <w:ind w:left="8255" w:hanging="281"/>
      </w:pPr>
      <w:rPr>
        <w:rFonts w:hint="default"/>
        <w:lang w:val="it-IT" w:eastAsia="it-IT" w:bidi="it-IT"/>
      </w:rPr>
    </w:lvl>
  </w:abstractNum>
  <w:abstractNum w:abstractNumId="3" w15:restartNumberingAfterBreak="0">
    <w:nsid w:val="2DD62B30"/>
    <w:multiLevelType w:val="multilevel"/>
    <w:tmpl w:val="82C073DE"/>
    <w:lvl w:ilvl="0">
      <w:start w:val="14"/>
      <w:numFmt w:val="upperLetter"/>
      <w:lvlText w:val="%1"/>
      <w:lvlJc w:val="left"/>
      <w:pPr>
        <w:ind w:left="820" w:hanging="721"/>
      </w:pPr>
      <w:rPr>
        <w:rFonts w:hint="default"/>
        <w:lang w:val="it-IT" w:eastAsia="it-IT" w:bidi="it-IT"/>
      </w:rPr>
    </w:lvl>
    <w:lvl w:ilvl="1">
      <w:start w:val="2"/>
      <w:numFmt w:val="upperLetter"/>
      <w:lvlText w:val="%1.%2."/>
      <w:lvlJc w:val="left"/>
      <w:pPr>
        <w:ind w:left="820" w:hanging="721"/>
      </w:pPr>
      <w:rPr>
        <w:rFonts w:ascii="Times New Roman" w:eastAsia="Times New Roman" w:hAnsi="Times New Roman" w:cs="Times New Roman" w:hint="default"/>
        <w:b/>
        <w:bCs/>
        <w:i/>
        <w:spacing w:val="-1"/>
        <w:w w:val="99"/>
        <w:sz w:val="20"/>
        <w:szCs w:val="20"/>
        <w:u w:val="single" w:color="000000"/>
        <w:lang w:val="it-IT" w:eastAsia="it-IT" w:bidi="it-IT"/>
      </w:rPr>
    </w:lvl>
    <w:lvl w:ilvl="2">
      <w:numFmt w:val="bullet"/>
      <w:lvlText w:val="-"/>
      <w:lvlJc w:val="left"/>
      <w:pPr>
        <w:ind w:left="1233" w:hanging="281"/>
      </w:pPr>
      <w:rPr>
        <w:rFonts w:ascii="Times New Roman" w:eastAsia="Times New Roman" w:hAnsi="Times New Roman" w:cs="Times New Roman" w:hint="default"/>
        <w:w w:val="99"/>
        <w:sz w:val="20"/>
        <w:szCs w:val="20"/>
        <w:lang w:val="it-IT" w:eastAsia="it-IT" w:bidi="it-IT"/>
      </w:rPr>
    </w:lvl>
    <w:lvl w:ilvl="3">
      <w:numFmt w:val="bullet"/>
      <w:lvlText w:val="•"/>
      <w:lvlJc w:val="left"/>
      <w:pPr>
        <w:ind w:left="3213" w:hanging="281"/>
      </w:pPr>
      <w:rPr>
        <w:rFonts w:hint="default"/>
        <w:lang w:val="it-IT" w:eastAsia="it-IT" w:bidi="it-IT"/>
      </w:rPr>
    </w:lvl>
    <w:lvl w:ilvl="4">
      <w:numFmt w:val="bullet"/>
      <w:lvlText w:val="•"/>
      <w:lvlJc w:val="left"/>
      <w:pPr>
        <w:ind w:left="4199" w:hanging="281"/>
      </w:pPr>
      <w:rPr>
        <w:rFonts w:hint="default"/>
        <w:lang w:val="it-IT" w:eastAsia="it-IT" w:bidi="it-IT"/>
      </w:rPr>
    </w:lvl>
    <w:lvl w:ilvl="5">
      <w:numFmt w:val="bullet"/>
      <w:lvlText w:val="•"/>
      <w:lvlJc w:val="left"/>
      <w:pPr>
        <w:ind w:left="5186" w:hanging="281"/>
      </w:pPr>
      <w:rPr>
        <w:rFonts w:hint="default"/>
        <w:lang w:val="it-IT" w:eastAsia="it-IT" w:bidi="it-IT"/>
      </w:rPr>
    </w:lvl>
    <w:lvl w:ilvl="6">
      <w:numFmt w:val="bullet"/>
      <w:lvlText w:val="•"/>
      <w:lvlJc w:val="left"/>
      <w:pPr>
        <w:ind w:left="6172" w:hanging="281"/>
      </w:pPr>
      <w:rPr>
        <w:rFonts w:hint="default"/>
        <w:lang w:val="it-IT" w:eastAsia="it-IT" w:bidi="it-IT"/>
      </w:rPr>
    </w:lvl>
    <w:lvl w:ilvl="7">
      <w:numFmt w:val="bullet"/>
      <w:lvlText w:val="•"/>
      <w:lvlJc w:val="left"/>
      <w:pPr>
        <w:ind w:left="7159" w:hanging="281"/>
      </w:pPr>
      <w:rPr>
        <w:rFonts w:hint="default"/>
        <w:lang w:val="it-IT" w:eastAsia="it-IT" w:bidi="it-IT"/>
      </w:rPr>
    </w:lvl>
    <w:lvl w:ilvl="8">
      <w:numFmt w:val="bullet"/>
      <w:lvlText w:val="•"/>
      <w:lvlJc w:val="left"/>
      <w:pPr>
        <w:ind w:left="8146" w:hanging="281"/>
      </w:pPr>
      <w:rPr>
        <w:rFonts w:hint="default"/>
        <w:lang w:val="it-IT" w:eastAsia="it-IT" w:bidi="it-IT"/>
      </w:rPr>
    </w:lvl>
  </w:abstractNum>
  <w:abstractNum w:abstractNumId="4" w15:restartNumberingAfterBreak="0">
    <w:nsid w:val="545D3E1B"/>
    <w:multiLevelType w:val="hybridMultilevel"/>
    <w:tmpl w:val="A1C6A00C"/>
    <w:lvl w:ilvl="0" w:tplc="9904B802">
      <w:numFmt w:val="bullet"/>
      <w:lvlText w:val=""/>
      <w:lvlJc w:val="left"/>
      <w:pPr>
        <w:ind w:left="383" w:hanging="284"/>
      </w:pPr>
      <w:rPr>
        <w:rFonts w:ascii="Symbol" w:eastAsia="Symbol" w:hAnsi="Symbol" w:cs="Symbol" w:hint="default"/>
        <w:w w:val="99"/>
        <w:sz w:val="20"/>
        <w:szCs w:val="20"/>
        <w:lang w:val="it-IT" w:eastAsia="it-IT" w:bidi="it-IT"/>
      </w:rPr>
    </w:lvl>
    <w:lvl w:ilvl="1" w:tplc="94DE7FF8">
      <w:numFmt w:val="bullet"/>
      <w:lvlText w:val="•"/>
      <w:lvlJc w:val="left"/>
      <w:pPr>
        <w:ind w:left="1353" w:hanging="284"/>
      </w:pPr>
      <w:rPr>
        <w:rFonts w:hint="default"/>
        <w:lang w:val="it-IT" w:eastAsia="it-IT" w:bidi="it-IT"/>
      </w:rPr>
    </w:lvl>
    <w:lvl w:ilvl="2" w:tplc="F474C8B6">
      <w:numFmt w:val="bullet"/>
      <w:lvlText w:val="•"/>
      <w:lvlJc w:val="left"/>
      <w:pPr>
        <w:ind w:left="2327" w:hanging="284"/>
      </w:pPr>
      <w:rPr>
        <w:rFonts w:hint="default"/>
        <w:lang w:val="it-IT" w:eastAsia="it-IT" w:bidi="it-IT"/>
      </w:rPr>
    </w:lvl>
    <w:lvl w:ilvl="3" w:tplc="802EFC88">
      <w:numFmt w:val="bullet"/>
      <w:lvlText w:val="•"/>
      <w:lvlJc w:val="left"/>
      <w:pPr>
        <w:ind w:left="3301" w:hanging="284"/>
      </w:pPr>
      <w:rPr>
        <w:rFonts w:hint="default"/>
        <w:lang w:val="it-IT" w:eastAsia="it-IT" w:bidi="it-IT"/>
      </w:rPr>
    </w:lvl>
    <w:lvl w:ilvl="4" w:tplc="A7BC8188">
      <w:numFmt w:val="bullet"/>
      <w:lvlText w:val="•"/>
      <w:lvlJc w:val="left"/>
      <w:pPr>
        <w:ind w:left="4275" w:hanging="284"/>
      </w:pPr>
      <w:rPr>
        <w:rFonts w:hint="default"/>
        <w:lang w:val="it-IT" w:eastAsia="it-IT" w:bidi="it-IT"/>
      </w:rPr>
    </w:lvl>
    <w:lvl w:ilvl="5" w:tplc="D6B0D90C">
      <w:numFmt w:val="bullet"/>
      <w:lvlText w:val="•"/>
      <w:lvlJc w:val="left"/>
      <w:pPr>
        <w:ind w:left="5249" w:hanging="284"/>
      </w:pPr>
      <w:rPr>
        <w:rFonts w:hint="default"/>
        <w:lang w:val="it-IT" w:eastAsia="it-IT" w:bidi="it-IT"/>
      </w:rPr>
    </w:lvl>
    <w:lvl w:ilvl="6" w:tplc="1D7804F4">
      <w:numFmt w:val="bullet"/>
      <w:lvlText w:val="•"/>
      <w:lvlJc w:val="left"/>
      <w:pPr>
        <w:ind w:left="6223" w:hanging="284"/>
      </w:pPr>
      <w:rPr>
        <w:rFonts w:hint="default"/>
        <w:lang w:val="it-IT" w:eastAsia="it-IT" w:bidi="it-IT"/>
      </w:rPr>
    </w:lvl>
    <w:lvl w:ilvl="7" w:tplc="78024CA0">
      <w:numFmt w:val="bullet"/>
      <w:lvlText w:val="•"/>
      <w:lvlJc w:val="left"/>
      <w:pPr>
        <w:ind w:left="7197" w:hanging="284"/>
      </w:pPr>
      <w:rPr>
        <w:rFonts w:hint="default"/>
        <w:lang w:val="it-IT" w:eastAsia="it-IT" w:bidi="it-IT"/>
      </w:rPr>
    </w:lvl>
    <w:lvl w:ilvl="8" w:tplc="0E621FC8">
      <w:numFmt w:val="bullet"/>
      <w:lvlText w:val="•"/>
      <w:lvlJc w:val="left"/>
      <w:pPr>
        <w:ind w:left="8171" w:hanging="284"/>
      </w:pPr>
      <w:rPr>
        <w:rFonts w:hint="default"/>
        <w:lang w:val="it-IT" w:eastAsia="it-IT" w:bidi="it-IT"/>
      </w:rPr>
    </w:lvl>
  </w:abstractNum>
  <w:abstractNum w:abstractNumId="5" w15:restartNumberingAfterBreak="0">
    <w:nsid w:val="62070457"/>
    <w:multiLevelType w:val="hybridMultilevel"/>
    <w:tmpl w:val="68F27436"/>
    <w:lvl w:ilvl="0" w:tplc="CB8C4BCE">
      <w:numFmt w:val="bullet"/>
      <w:lvlText w:val=""/>
      <w:lvlJc w:val="left"/>
      <w:pPr>
        <w:ind w:left="383" w:hanging="284"/>
      </w:pPr>
      <w:rPr>
        <w:rFonts w:ascii="Wingdings 2" w:eastAsia="Wingdings 2" w:hAnsi="Wingdings 2" w:cs="Wingdings 2" w:hint="default"/>
        <w:w w:val="76"/>
        <w:sz w:val="20"/>
        <w:szCs w:val="20"/>
        <w:lang w:val="it-IT" w:eastAsia="it-IT" w:bidi="it-IT"/>
      </w:rPr>
    </w:lvl>
    <w:lvl w:ilvl="1" w:tplc="6B262042">
      <w:numFmt w:val="bullet"/>
      <w:lvlText w:val=""/>
      <w:lvlJc w:val="left"/>
      <w:pPr>
        <w:ind w:left="666" w:hanging="284"/>
      </w:pPr>
      <w:rPr>
        <w:rFonts w:ascii="Wingdings 2" w:eastAsia="Wingdings 2" w:hAnsi="Wingdings 2" w:cs="Wingdings 2" w:hint="default"/>
        <w:w w:val="76"/>
        <w:sz w:val="20"/>
        <w:szCs w:val="20"/>
        <w:lang w:val="it-IT" w:eastAsia="it-IT" w:bidi="it-IT"/>
      </w:rPr>
    </w:lvl>
    <w:lvl w:ilvl="2" w:tplc="ED86F364">
      <w:numFmt w:val="bullet"/>
      <w:lvlText w:val="•"/>
      <w:lvlJc w:val="left"/>
      <w:pPr>
        <w:ind w:left="1711" w:hanging="284"/>
      </w:pPr>
      <w:rPr>
        <w:rFonts w:hint="default"/>
        <w:lang w:val="it-IT" w:eastAsia="it-IT" w:bidi="it-IT"/>
      </w:rPr>
    </w:lvl>
    <w:lvl w:ilvl="3" w:tplc="E8E6545A">
      <w:numFmt w:val="bullet"/>
      <w:lvlText w:val="•"/>
      <w:lvlJc w:val="left"/>
      <w:pPr>
        <w:ind w:left="2762" w:hanging="284"/>
      </w:pPr>
      <w:rPr>
        <w:rFonts w:hint="default"/>
        <w:lang w:val="it-IT" w:eastAsia="it-IT" w:bidi="it-IT"/>
      </w:rPr>
    </w:lvl>
    <w:lvl w:ilvl="4" w:tplc="5BC05700">
      <w:numFmt w:val="bullet"/>
      <w:lvlText w:val="•"/>
      <w:lvlJc w:val="left"/>
      <w:pPr>
        <w:ind w:left="3813" w:hanging="284"/>
      </w:pPr>
      <w:rPr>
        <w:rFonts w:hint="default"/>
        <w:lang w:val="it-IT" w:eastAsia="it-IT" w:bidi="it-IT"/>
      </w:rPr>
    </w:lvl>
    <w:lvl w:ilvl="5" w:tplc="F300FF6C">
      <w:numFmt w:val="bullet"/>
      <w:lvlText w:val="•"/>
      <w:lvlJc w:val="left"/>
      <w:pPr>
        <w:ind w:left="4864" w:hanging="284"/>
      </w:pPr>
      <w:rPr>
        <w:rFonts w:hint="default"/>
        <w:lang w:val="it-IT" w:eastAsia="it-IT" w:bidi="it-IT"/>
      </w:rPr>
    </w:lvl>
    <w:lvl w:ilvl="6" w:tplc="954C0694">
      <w:numFmt w:val="bullet"/>
      <w:lvlText w:val="•"/>
      <w:lvlJc w:val="left"/>
      <w:pPr>
        <w:ind w:left="5915" w:hanging="284"/>
      </w:pPr>
      <w:rPr>
        <w:rFonts w:hint="default"/>
        <w:lang w:val="it-IT" w:eastAsia="it-IT" w:bidi="it-IT"/>
      </w:rPr>
    </w:lvl>
    <w:lvl w:ilvl="7" w:tplc="CD282B56">
      <w:numFmt w:val="bullet"/>
      <w:lvlText w:val="•"/>
      <w:lvlJc w:val="left"/>
      <w:pPr>
        <w:ind w:left="6966" w:hanging="284"/>
      </w:pPr>
      <w:rPr>
        <w:rFonts w:hint="default"/>
        <w:lang w:val="it-IT" w:eastAsia="it-IT" w:bidi="it-IT"/>
      </w:rPr>
    </w:lvl>
    <w:lvl w:ilvl="8" w:tplc="D1C8715A">
      <w:numFmt w:val="bullet"/>
      <w:lvlText w:val="•"/>
      <w:lvlJc w:val="left"/>
      <w:pPr>
        <w:ind w:left="8017" w:hanging="284"/>
      </w:pPr>
      <w:rPr>
        <w:rFonts w:hint="default"/>
        <w:lang w:val="it-IT" w:eastAsia="it-IT" w:bidi="it-IT"/>
      </w:rPr>
    </w:lvl>
  </w:abstractNum>
  <w:abstractNum w:abstractNumId="6" w15:restartNumberingAfterBreak="0">
    <w:nsid w:val="6BA61F15"/>
    <w:multiLevelType w:val="hybridMultilevel"/>
    <w:tmpl w:val="5218CA6E"/>
    <w:lvl w:ilvl="0" w:tplc="46F80230">
      <w:start w:val="22"/>
      <w:numFmt w:val="lowerLetter"/>
      <w:lvlText w:val="%1)"/>
      <w:lvlJc w:val="left"/>
      <w:pPr>
        <w:ind w:left="459" w:hanging="360"/>
      </w:pPr>
      <w:rPr>
        <w:rFonts w:hint="default"/>
        <w:i w:val="0"/>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7" w15:restartNumberingAfterBreak="0">
    <w:nsid w:val="72DD4948"/>
    <w:multiLevelType w:val="hybridMultilevel"/>
    <w:tmpl w:val="47584ABC"/>
    <w:lvl w:ilvl="0" w:tplc="647EC1E2">
      <w:start w:val="1"/>
      <w:numFmt w:val="lowerLetter"/>
      <w:lvlText w:val="%1)"/>
      <w:lvlJc w:val="left"/>
      <w:pPr>
        <w:ind w:left="460" w:hanging="361"/>
      </w:pPr>
      <w:rPr>
        <w:rFonts w:ascii="Times New Roman" w:eastAsia="Times New Roman" w:hAnsi="Times New Roman" w:cs="Times New Roman" w:hint="default"/>
        <w:w w:val="99"/>
        <w:sz w:val="20"/>
        <w:szCs w:val="20"/>
        <w:lang w:val="it-IT" w:eastAsia="it-IT" w:bidi="it-IT"/>
      </w:rPr>
    </w:lvl>
    <w:lvl w:ilvl="1" w:tplc="A74812C2">
      <w:numFmt w:val="bullet"/>
      <w:lvlText w:val=""/>
      <w:lvlJc w:val="left"/>
      <w:pPr>
        <w:ind w:left="1094" w:hanging="286"/>
      </w:pPr>
      <w:rPr>
        <w:rFonts w:ascii="Symbol" w:eastAsia="Symbol" w:hAnsi="Symbol" w:cs="Symbol" w:hint="default"/>
        <w:w w:val="99"/>
        <w:sz w:val="20"/>
        <w:szCs w:val="20"/>
        <w:lang w:val="it-IT" w:eastAsia="it-IT" w:bidi="it-IT"/>
      </w:rPr>
    </w:lvl>
    <w:lvl w:ilvl="2" w:tplc="FFF02EC2">
      <w:numFmt w:val="bullet"/>
      <w:lvlText w:val="•"/>
      <w:lvlJc w:val="left"/>
      <w:pPr>
        <w:ind w:left="2102" w:hanging="286"/>
      </w:pPr>
      <w:rPr>
        <w:rFonts w:hint="default"/>
        <w:lang w:val="it-IT" w:eastAsia="it-IT" w:bidi="it-IT"/>
      </w:rPr>
    </w:lvl>
    <w:lvl w:ilvl="3" w:tplc="53A65764">
      <w:numFmt w:val="bullet"/>
      <w:lvlText w:val="•"/>
      <w:lvlJc w:val="left"/>
      <w:pPr>
        <w:ind w:left="3104" w:hanging="286"/>
      </w:pPr>
      <w:rPr>
        <w:rFonts w:hint="default"/>
        <w:lang w:val="it-IT" w:eastAsia="it-IT" w:bidi="it-IT"/>
      </w:rPr>
    </w:lvl>
    <w:lvl w:ilvl="4" w:tplc="26D2CE34">
      <w:numFmt w:val="bullet"/>
      <w:lvlText w:val="•"/>
      <w:lvlJc w:val="left"/>
      <w:pPr>
        <w:ind w:left="4106" w:hanging="286"/>
      </w:pPr>
      <w:rPr>
        <w:rFonts w:hint="default"/>
        <w:lang w:val="it-IT" w:eastAsia="it-IT" w:bidi="it-IT"/>
      </w:rPr>
    </w:lvl>
    <w:lvl w:ilvl="5" w:tplc="31D2BA6C">
      <w:numFmt w:val="bullet"/>
      <w:lvlText w:val="•"/>
      <w:lvlJc w:val="left"/>
      <w:pPr>
        <w:ind w:left="5108" w:hanging="286"/>
      </w:pPr>
      <w:rPr>
        <w:rFonts w:hint="default"/>
        <w:lang w:val="it-IT" w:eastAsia="it-IT" w:bidi="it-IT"/>
      </w:rPr>
    </w:lvl>
    <w:lvl w:ilvl="6" w:tplc="32AA05D2">
      <w:numFmt w:val="bullet"/>
      <w:lvlText w:val="•"/>
      <w:lvlJc w:val="left"/>
      <w:pPr>
        <w:ind w:left="6110" w:hanging="286"/>
      </w:pPr>
      <w:rPr>
        <w:rFonts w:hint="default"/>
        <w:lang w:val="it-IT" w:eastAsia="it-IT" w:bidi="it-IT"/>
      </w:rPr>
    </w:lvl>
    <w:lvl w:ilvl="7" w:tplc="8C14867C">
      <w:numFmt w:val="bullet"/>
      <w:lvlText w:val="•"/>
      <w:lvlJc w:val="left"/>
      <w:pPr>
        <w:ind w:left="7112" w:hanging="286"/>
      </w:pPr>
      <w:rPr>
        <w:rFonts w:hint="default"/>
        <w:lang w:val="it-IT" w:eastAsia="it-IT" w:bidi="it-IT"/>
      </w:rPr>
    </w:lvl>
    <w:lvl w:ilvl="8" w:tplc="E94837BC">
      <w:numFmt w:val="bullet"/>
      <w:lvlText w:val="•"/>
      <w:lvlJc w:val="left"/>
      <w:pPr>
        <w:ind w:left="8114" w:hanging="286"/>
      </w:pPr>
      <w:rPr>
        <w:rFonts w:hint="default"/>
        <w:lang w:val="it-IT" w:eastAsia="it-IT" w:bidi="it-IT"/>
      </w:rPr>
    </w:lvl>
  </w:abstractNum>
  <w:abstractNum w:abstractNumId="8" w15:restartNumberingAfterBreak="0">
    <w:nsid w:val="7640551B"/>
    <w:multiLevelType w:val="hybridMultilevel"/>
    <w:tmpl w:val="73E69F0E"/>
    <w:lvl w:ilvl="0" w:tplc="6FDCD98C">
      <w:start w:val="14"/>
      <w:numFmt w:val="upperLetter"/>
      <w:lvlText w:val="%1"/>
      <w:lvlJc w:val="left"/>
      <w:pPr>
        <w:ind w:left="477" w:hanging="378"/>
      </w:pPr>
      <w:rPr>
        <w:rFonts w:hint="default"/>
        <w:lang w:val="it-IT" w:eastAsia="it-IT" w:bidi="it-IT"/>
      </w:rPr>
    </w:lvl>
    <w:lvl w:ilvl="1" w:tplc="876CAF70">
      <w:numFmt w:val="bullet"/>
      <w:lvlText w:val="-"/>
      <w:lvlJc w:val="left"/>
      <w:pPr>
        <w:ind w:left="1233" w:hanging="281"/>
      </w:pPr>
      <w:rPr>
        <w:rFonts w:ascii="Times New Roman" w:eastAsia="Times New Roman" w:hAnsi="Times New Roman" w:cs="Times New Roman" w:hint="default"/>
        <w:w w:val="99"/>
        <w:sz w:val="20"/>
        <w:szCs w:val="20"/>
        <w:lang w:val="it-IT" w:eastAsia="it-IT" w:bidi="it-IT"/>
      </w:rPr>
    </w:lvl>
    <w:lvl w:ilvl="2" w:tplc="EFC6326A">
      <w:numFmt w:val="bullet"/>
      <w:lvlText w:val="•"/>
      <w:lvlJc w:val="left"/>
      <w:pPr>
        <w:ind w:left="2226" w:hanging="281"/>
      </w:pPr>
      <w:rPr>
        <w:rFonts w:hint="default"/>
        <w:lang w:val="it-IT" w:eastAsia="it-IT" w:bidi="it-IT"/>
      </w:rPr>
    </w:lvl>
    <w:lvl w:ilvl="3" w:tplc="77D21C94">
      <w:numFmt w:val="bullet"/>
      <w:lvlText w:val="•"/>
      <w:lvlJc w:val="left"/>
      <w:pPr>
        <w:ind w:left="3213" w:hanging="281"/>
      </w:pPr>
      <w:rPr>
        <w:rFonts w:hint="default"/>
        <w:lang w:val="it-IT" w:eastAsia="it-IT" w:bidi="it-IT"/>
      </w:rPr>
    </w:lvl>
    <w:lvl w:ilvl="4" w:tplc="D94CC438">
      <w:numFmt w:val="bullet"/>
      <w:lvlText w:val="•"/>
      <w:lvlJc w:val="left"/>
      <w:pPr>
        <w:ind w:left="4199" w:hanging="281"/>
      </w:pPr>
      <w:rPr>
        <w:rFonts w:hint="default"/>
        <w:lang w:val="it-IT" w:eastAsia="it-IT" w:bidi="it-IT"/>
      </w:rPr>
    </w:lvl>
    <w:lvl w:ilvl="5" w:tplc="1FB6DD40">
      <w:numFmt w:val="bullet"/>
      <w:lvlText w:val="•"/>
      <w:lvlJc w:val="left"/>
      <w:pPr>
        <w:ind w:left="5186" w:hanging="281"/>
      </w:pPr>
      <w:rPr>
        <w:rFonts w:hint="default"/>
        <w:lang w:val="it-IT" w:eastAsia="it-IT" w:bidi="it-IT"/>
      </w:rPr>
    </w:lvl>
    <w:lvl w:ilvl="6" w:tplc="93B2A538">
      <w:numFmt w:val="bullet"/>
      <w:lvlText w:val="•"/>
      <w:lvlJc w:val="left"/>
      <w:pPr>
        <w:ind w:left="6172" w:hanging="281"/>
      </w:pPr>
      <w:rPr>
        <w:rFonts w:hint="default"/>
        <w:lang w:val="it-IT" w:eastAsia="it-IT" w:bidi="it-IT"/>
      </w:rPr>
    </w:lvl>
    <w:lvl w:ilvl="7" w:tplc="D3528662">
      <w:numFmt w:val="bullet"/>
      <w:lvlText w:val="•"/>
      <w:lvlJc w:val="left"/>
      <w:pPr>
        <w:ind w:left="7159" w:hanging="281"/>
      </w:pPr>
      <w:rPr>
        <w:rFonts w:hint="default"/>
        <w:lang w:val="it-IT" w:eastAsia="it-IT" w:bidi="it-IT"/>
      </w:rPr>
    </w:lvl>
    <w:lvl w:ilvl="8" w:tplc="C8143148">
      <w:numFmt w:val="bullet"/>
      <w:lvlText w:val="•"/>
      <w:lvlJc w:val="left"/>
      <w:pPr>
        <w:ind w:left="8146" w:hanging="281"/>
      </w:pPr>
      <w:rPr>
        <w:rFonts w:hint="default"/>
        <w:lang w:val="it-IT" w:eastAsia="it-IT" w:bidi="it-IT"/>
      </w:rPr>
    </w:lvl>
  </w:abstractNum>
  <w:abstractNum w:abstractNumId="9" w15:restartNumberingAfterBreak="0">
    <w:nsid w:val="76E75391"/>
    <w:multiLevelType w:val="hybridMultilevel"/>
    <w:tmpl w:val="40660458"/>
    <w:lvl w:ilvl="0" w:tplc="DD5CBB8A">
      <w:start w:val="1"/>
      <w:numFmt w:val="decimal"/>
      <w:lvlText w:val="%1)"/>
      <w:lvlJc w:val="left"/>
      <w:pPr>
        <w:ind w:left="383" w:hanging="284"/>
      </w:pPr>
      <w:rPr>
        <w:rFonts w:ascii="Times New Roman" w:eastAsia="Times New Roman" w:hAnsi="Times New Roman" w:cs="Times New Roman" w:hint="default"/>
        <w:spacing w:val="0"/>
        <w:w w:val="99"/>
        <w:sz w:val="20"/>
        <w:szCs w:val="20"/>
        <w:lang w:val="it-IT" w:eastAsia="it-IT" w:bidi="it-IT"/>
      </w:rPr>
    </w:lvl>
    <w:lvl w:ilvl="1" w:tplc="16DC3BA6">
      <w:numFmt w:val="bullet"/>
      <w:lvlText w:val=""/>
      <w:lvlJc w:val="left"/>
      <w:pPr>
        <w:ind w:left="383" w:hanging="238"/>
      </w:pPr>
      <w:rPr>
        <w:rFonts w:ascii="Wingdings" w:eastAsia="Wingdings" w:hAnsi="Wingdings" w:cs="Wingdings" w:hint="default"/>
        <w:w w:val="99"/>
        <w:sz w:val="20"/>
        <w:szCs w:val="20"/>
        <w:lang w:val="it-IT" w:eastAsia="it-IT" w:bidi="it-IT"/>
      </w:rPr>
    </w:lvl>
    <w:lvl w:ilvl="2" w:tplc="C2748ED0">
      <w:numFmt w:val="bullet"/>
      <w:lvlText w:val="•"/>
      <w:lvlJc w:val="left"/>
      <w:pPr>
        <w:ind w:left="2327" w:hanging="238"/>
      </w:pPr>
      <w:rPr>
        <w:rFonts w:hint="default"/>
        <w:lang w:val="it-IT" w:eastAsia="it-IT" w:bidi="it-IT"/>
      </w:rPr>
    </w:lvl>
    <w:lvl w:ilvl="3" w:tplc="61C43A4E">
      <w:numFmt w:val="bullet"/>
      <w:lvlText w:val="•"/>
      <w:lvlJc w:val="left"/>
      <w:pPr>
        <w:ind w:left="3301" w:hanging="238"/>
      </w:pPr>
      <w:rPr>
        <w:rFonts w:hint="default"/>
        <w:lang w:val="it-IT" w:eastAsia="it-IT" w:bidi="it-IT"/>
      </w:rPr>
    </w:lvl>
    <w:lvl w:ilvl="4" w:tplc="34587F0A">
      <w:numFmt w:val="bullet"/>
      <w:lvlText w:val="•"/>
      <w:lvlJc w:val="left"/>
      <w:pPr>
        <w:ind w:left="4275" w:hanging="238"/>
      </w:pPr>
      <w:rPr>
        <w:rFonts w:hint="default"/>
        <w:lang w:val="it-IT" w:eastAsia="it-IT" w:bidi="it-IT"/>
      </w:rPr>
    </w:lvl>
    <w:lvl w:ilvl="5" w:tplc="4AFAAF1C">
      <w:numFmt w:val="bullet"/>
      <w:lvlText w:val="•"/>
      <w:lvlJc w:val="left"/>
      <w:pPr>
        <w:ind w:left="5249" w:hanging="238"/>
      </w:pPr>
      <w:rPr>
        <w:rFonts w:hint="default"/>
        <w:lang w:val="it-IT" w:eastAsia="it-IT" w:bidi="it-IT"/>
      </w:rPr>
    </w:lvl>
    <w:lvl w:ilvl="6" w:tplc="6762739E">
      <w:numFmt w:val="bullet"/>
      <w:lvlText w:val="•"/>
      <w:lvlJc w:val="left"/>
      <w:pPr>
        <w:ind w:left="6223" w:hanging="238"/>
      </w:pPr>
      <w:rPr>
        <w:rFonts w:hint="default"/>
        <w:lang w:val="it-IT" w:eastAsia="it-IT" w:bidi="it-IT"/>
      </w:rPr>
    </w:lvl>
    <w:lvl w:ilvl="7" w:tplc="F788C806">
      <w:numFmt w:val="bullet"/>
      <w:lvlText w:val="•"/>
      <w:lvlJc w:val="left"/>
      <w:pPr>
        <w:ind w:left="7197" w:hanging="238"/>
      </w:pPr>
      <w:rPr>
        <w:rFonts w:hint="default"/>
        <w:lang w:val="it-IT" w:eastAsia="it-IT" w:bidi="it-IT"/>
      </w:rPr>
    </w:lvl>
    <w:lvl w:ilvl="8" w:tplc="09BE1AC4">
      <w:numFmt w:val="bullet"/>
      <w:lvlText w:val="•"/>
      <w:lvlJc w:val="left"/>
      <w:pPr>
        <w:ind w:left="8171" w:hanging="238"/>
      </w:pPr>
      <w:rPr>
        <w:rFonts w:hint="default"/>
        <w:lang w:val="it-IT" w:eastAsia="it-IT" w:bidi="it-IT"/>
      </w:rPr>
    </w:lvl>
  </w:abstractNum>
  <w:num w:numId="1" w16cid:durableId="1346176699">
    <w:abstractNumId w:val="8"/>
  </w:num>
  <w:num w:numId="2" w16cid:durableId="1441678903">
    <w:abstractNumId w:val="0"/>
  </w:num>
  <w:num w:numId="3" w16cid:durableId="722601204">
    <w:abstractNumId w:val="9"/>
  </w:num>
  <w:num w:numId="4" w16cid:durableId="1018317350">
    <w:abstractNumId w:val="2"/>
  </w:num>
  <w:num w:numId="5" w16cid:durableId="1712336694">
    <w:abstractNumId w:val="7"/>
  </w:num>
  <w:num w:numId="6" w16cid:durableId="465272353">
    <w:abstractNumId w:val="4"/>
  </w:num>
  <w:num w:numId="7" w16cid:durableId="1310400449">
    <w:abstractNumId w:val="5"/>
  </w:num>
  <w:num w:numId="8" w16cid:durableId="1083456315">
    <w:abstractNumId w:val="1"/>
  </w:num>
  <w:num w:numId="9" w16cid:durableId="114907717">
    <w:abstractNumId w:val="3"/>
  </w:num>
  <w:num w:numId="10" w16cid:durableId="207365037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de-DE" w:vendorID="64" w:dllVersion="6" w:nlCheck="1" w:checkStyle="1"/>
  <w:activeWritingStyle w:appName="MSWord" w:lang="it-IT" w:vendorID="64" w:dllVersion="4096" w:nlCheck="1" w:checkStyle="0"/>
  <w:activeWritingStyle w:appName="MSWord" w:lang="en-US" w:vendorID="64" w:dllVersion="4096" w:nlCheck="1" w:checkStyle="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B2"/>
    <w:rsid w:val="00004C0A"/>
    <w:rsid w:val="000161E1"/>
    <w:rsid w:val="00021999"/>
    <w:rsid w:val="00031752"/>
    <w:rsid w:val="00031B23"/>
    <w:rsid w:val="00033A67"/>
    <w:rsid w:val="00035C11"/>
    <w:rsid w:val="000407E1"/>
    <w:rsid w:val="00040C56"/>
    <w:rsid w:val="00042236"/>
    <w:rsid w:val="000449A0"/>
    <w:rsid w:val="0005302F"/>
    <w:rsid w:val="00056BF1"/>
    <w:rsid w:val="00057142"/>
    <w:rsid w:val="000606F7"/>
    <w:rsid w:val="0006103D"/>
    <w:rsid w:val="0006422C"/>
    <w:rsid w:val="000668B3"/>
    <w:rsid w:val="00067E2F"/>
    <w:rsid w:val="00070562"/>
    <w:rsid w:val="000705F4"/>
    <w:rsid w:val="00072751"/>
    <w:rsid w:val="00074C06"/>
    <w:rsid w:val="0008020B"/>
    <w:rsid w:val="000814D5"/>
    <w:rsid w:val="0009147A"/>
    <w:rsid w:val="000967F2"/>
    <w:rsid w:val="000A123A"/>
    <w:rsid w:val="000A4F8B"/>
    <w:rsid w:val="000A5BE4"/>
    <w:rsid w:val="000B14F0"/>
    <w:rsid w:val="000C725C"/>
    <w:rsid w:val="000D1BCE"/>
    <w:rsid w:val="000D4B30"/>
    <w:rsid w:val="000D553E"/>
    <w:rsid w:val="000E0805"/>
    <w:rsid w:val="000E1B4E"/>
    <w:rsid w:val="000E49CC"/>
    <w:rsid w:val="000E764C"/>
    <w:rsid w:val="000F0FA3"/>
    <w:rsid w:val="000F20AE"/>
    <w:rsid w:val="000F4948"/>
    <w:rsid w:val="001037FB"/>
    <w:rsid w:val="00104C8B"/>
    <w:rsid w:val="00107517"/>
    <w:rsid w:val="00113D66"/>
    <w:rsid w:val="00113D73"/>
    <w:rsid w:val="00120D52"/>
    <w:rsid w:val="00122EC4"/>
    <w:rsid w:val="00125F00"/>
    <w:rsid w:val="001368D3"/>
    <w:rsid w:val="00140C74"/>
    <w:rsid w:val="001432D7"/>
    <w:rsid w:val="001537A0"/>
    <w:rsid w:val="001547B2"/>
    <w:rsid w:val="0015582C"/>
    <w:rsid w:val="001618F3"/>
    <w:rsid w:val="00166FB2"/>
    <w:rsid w:val="0016746A"/>
    <w:rsid w:val="00170063"/>
    <w:rsid w:val="00170099"/>
    <w:rsid w:val="001740E7"/>
    <w:rsid w:val="00185D21"/>
    <w:rsid w:val="001933CD"/>
    <w:rsid w:val="00194A1D"/>
    <w:rsid w:val="00195F0B"/>
    <w:rsid w:val="00197C04"/>
    <w:rsid w:val="001A30C6"/>
    <w:rsid w:val="001A7404"/>
    <w:rsid w:val="001A7B5B"/>
    <w:rsid w:val="001A7FB4"/>
    <w:rsid w:val="001B4311"/>
    <w:rsid w:val="001B6824"/>
    <w:rsid w:val="001C278B"/>
    <w:rsid w:val="001D3AC3"/>
    <w:rsid w:val="001E6C13"/>
    <w:rsid w:val="00203BDC"/>
    <w:rsid w:val="0020492D"/>
    <w:rsid w:val="0020677F"/>
    <w:rsid w:val="00207B3A"/>
    <w:rsid w:val="00211A66"/>
    <w:rsid w:val="00213023"/>
    <w:rsid w:val="00215802"/>
    <w:rsid w:val="002211D4"/>
    <w:rsid w:val="0023309E"/>
    <w:rsid w:val="002335E3"/>
    <w:rsid w:val="002352D4"/>
    <w:rsid w:val="002451D3"/>
    <w:rsid w:val="00254C76"/>
    <w:rsid w:val="00256031"/>
    <w:rsid w:val="002734F0"/>
    <w:rsid w:val="00277549"/>
    <w:rsid w:val="00282D66"/>
    <w:rsid w:val="002A18A6"/>
    <w:rsid w:val="002A496F"/>
    <w:rsid w:val="002C5373"/>
    <w:rsid w:val="002D6342"/>
    <w:rsid w:val="002D7365"/>
    <w:rsid w:val="002E247D"/>
    <w:rsid w:val="002E3A67"/>
    <w:rsid w:val="002E41C0"/>
    <w:rsid w:val="002F5292"/>
    <w:rsid w:val="0030412A"/>
    <w:rsid w:val="00306F63"/>
    <w:rsid w:val="00320F91"/>
    <w:rsid w:val="00325188"/>
    <w:rsid w:val="00327ECB"/>
    <w:rsid w:val="00330218"/>
    <w:rsid w:val="00343B30"/>
    <w:rsid w:val="00344FC4"/>
    <w:rsid w:val="00345186"/>
    <w:rsid w:val="003554DC"/>
    <w:rsid w:val="00361A28"/>
    <w:rsid w:val="00361CA5"/>
    <w:rsid w:val="0036531C"/>
    <w:rsid w:val="00365B51"/>
    <w:rsid w:val="00370BC8"/>
    <w:rsid w:val="00372021"/>
    <w:rsid w:val="00372DDE"/>
    <w:rsid w:val="0037330F"/>
    <w:rsid w:val="00374394"/>
    <w:rsid w:val="00377376"/>
    <w:rsid w:val="00381477"/>
    <w:rsid w:val="00382621"/>
    <w:rsid w:val="00384863"/>
    <w:rsid w:val="00385786"/>
    <w:rsid w:val="0038616D"/>
    <w:rsid w:val="003906F8"/>
    <w:rsid w:val="003920E5"/>
    <w:rsid w:val="003B20B4"/>
    <w:rsid w:val="003B59FD"/>
    <w:rsid w:val="003B6D76"/>
    <w:rsid w:val="003C0AFD"/>
    <w:rsid w:val="003C3599"/>
    <w:rsid w:val="003C6FDB"/>
    <w:rsid w:val="003D54EE"/>
    <w:rsid w:val="003D7D28"/>
    <w:rsid w:val="003E6B2B"/>
    <w:rsid w:val="003F06DE"/>
    <w:rsid w:val="003F0A95"/>
    <w:rsid w:val="003F27E6"/>
    <w:rsid w:val="003F66A8"/>
    <w:rsid w:val="00403658"/>
    <w:rsid w:val="00403A7E"/>
    <w:rsid w:val="00410800"/>
    <w:rsid w:val="00411EBD"/>
    <w:rsid w:val="00415628"/>
    <w:rsid w:val="0041692B"/>
    <w:rsid w:val="0044565F"/>
    <w:rsid w:val="004577FC"/>
    <w:rsid w:val="00460CDC"/>
    <w:rsid w:val="00464837"/>
    <w:rsid w:val="00476C15"/>
    <w:rsid w:val="004777CD"/>
    <w:rsid w:val="0049099E"/>
    <w:rsid w:val="0049558E"/>
    <w:rsid w:val="004A0049"/>
    <w:rsid w:val="004A22BF"/>
    <w:rsid w:val="004A2AC7"/>
    <w:rsid w:val="004A5D4E"/>
    <w:rsid w:val="004A62A0"/>
    <w:rsid w:val="004C038E"/>
    <w:rsid w:val="004C1F39"/>
    <w:rsid w:val="004C6356"/>
    <w:rsid w:val="004D0979"/>
    <w:rsid w:val="004D10BE"/>
    <w:rsid w:val="004D3BE7"/>
    <w:rsid w:val="004D7E5A"/>
    <w:rsid w:val="004E156E"/>
    <w:rsid w:val="004E1B54"/>
    <w:rsid w:val="004E1E53"/>
    <w:rsid w:val="004E3074"/>
    <w:rsid w:val="004E3C61"/>
    <w:rsid w:val="004F08A1"/>
    <w:rsid w:val="004F1125"/>
    <w:rsid w:val="004F16B8"/>
    <w:rsid w:val="004F228D"/>
    <w:rsid w:val="00501B6F"/>
    <w:rsid w:val="00505395"/>
    <w:rsid w:val="005113B4"/>
    <w:rsid w:val="00513F96"/>
    <w:rsid w:val="00515C9C"/>
    <w:rsid w:val="0053210B"/>
    <w:rsid w:val="00545F32"/>
    <w:rsid w:val="00552145"/>
    <w:rsid w:val="00555C6A"/>
    <w:rsid w:val="00557749"/>
    <w:rsid w:val="005655E7"/>
    <w:rsid w:val="00573358"/>
    <w:rsid w:val="00576CA8"/>
    <w:rsid w:val="00585F08"/>
    <w:rsid w:val="00594869"/>
    <w:rsid w:val="0059519F"/>
    <w:rsid w:val="005A08FF"/>
    <w:rsid w:val="005A70D7"/>
    <w:rsid w:val="005B1CD0"/>
    <w:rsid w:val="005B6835"/>
    <w:rsid w:val="005B77D6"/>
    <w:rsid w:val="005D1BF9"/>
    <w:rsid w:val="005D26E6"/>
    <w:rsid w:val="005D55EC"/>
    <w:rsid w:val="005D55FD"/>
    <w:rsid w:val="005E7180"/>
    <w:rsid w:val="005E7430"/>
    <w:rsid w:val="005F1D17"/>
    <w:rsid w:val="005F2909"/>
    <w:rsid w:val="005F6292"/>
    <w:rsid w:val="00601170"/>
    <w:rsid w:val="00611E8E"/>
    <w:rsid w:val="00620AD1"/>
    <w:rsid w:val="0062397D"/>
    <w:rsid w:val="00633CD6"/>
    <w:rsid w:val="00633EB2"/>
    <w:rsid w:val="0063558A"/>
    <w:rsid w:val="00646EB4"/>
    <w:rsid w:val="006511B9"/>
    <w:rsid w:val="00654166"/>
    <w:rsid w:val="006614BC"/>
    <w:rsid w:val="00664E4B"/>
    <w:rsid w:val="006730BF"/>
    <w:rsid w:val="0067713C"/>
    <w:rsid w:val="006831E8"/>
    <w:rsid w:val="00686DB1"/>
    <w:rsid w:val="00687CD7"/>
    <w:rsid w:val="006910A1"/>
    <w:rsid w:val="0069353F"/>
    <w:rsid w:val="006A5172"/>
    <w:rsid w:val="006B2E89"/>
    <w:rsid w:val="006B5111"/>
    <w:rsid w:val="006B6E33"/>
    <w:rsid w:val="006C01CD"/>
    <w:rsid w:val="006C296D"/>
    <w:rsid w:val="006C42CC"/>
    <w:rsid w:val="006D1C47"/>
    <w:rsid w:val="006D4CB6"/>
    <w:rsid w:val="006D4E02"/>
    <w:rsid w:val="006E39A1"/>
    <w:rsid w:val="006E4D69"/>
    <w:rsid w:val="006F0DAF"/>
    <w:rsid w:val="00707182"/>
    <w:rsid w:val="007121CD"/>
    <w:rsid w:val="00712B8B"/>
    <w:rsid w:val="007327D4"/>
    <w:rsid w:val="00732ED1"/>
    <w:rsid w:val="00734B73"/>
    <w:rsid w:val="00736EE9"/>
    <w:rsid w:val="007418F6"/>
    <w:rsid w:val="007437FD"/>
    <w:rsid w:val="00760CE0"/>
    <w:rsid w:val="00762120"/>
    <w:rsid w:val="0076576A"/>
    <w:rsid w:val="007743A0"/>
    <w:rsid w:val="00781C36"/>
    <w:rsid w:val="00783692"/>
    <w:rsid w:val="00783A37"/>
    <w:rsid w:val="007A158F"/>
    <w:rsid w:val="007A7DF6"/>
    <w:rsid w:val="007B4DAA"/>
    <w:rsid w:val="007B6156"/>
    <w:rsid w:val="007C49E9"/>
    <w:rsid w:val="007D40E2"/>
    <w:rsid w:val="007D4EB9"/>
    <w:rsid w:val="007E0418"/>
    <w:rsid w:val="007E18AE"/>
    <w:rsid w:val="007E1A5B"/>
    <w:rsid w:val="007E2511"/>
    <w:rsid w:val="007E4DCA"/>
    <w:rsid w:val="007F0A25"/>
    <w:rsid w:val="007F2940"/>
    <w:rsid w:val="007F5527"/>
    <w:rsid w:val="007F55B4"/>
    <w:rsid w:val="00814D85"/>
    <w:rsid w:val="00816942"/>
    <w:rsid w:val="00825808"/>
    <w:rsid w:val="00833EBA"/>
    <w:rsid w:val="0083440E"/>
    <w:rsid w:val="00841097"/>
    <w:rsid w:val="008414B7"/>
    <w:rsid w:val="00857533"/>
    <w:rsid w:val="00862B1C"/>
    <w:rsid w:val="008700A6"/>
    <w:rsid w:val="008708F7"/>
    <w:rsid w:val="00880FA0"/>
    <w:rsid w:val="00882CB4"/>
    <w:rsid w:val="00887622"/>
    <w:rsid w:val="00895FD7"/>
    <w:rsid w:val="008972CD"/>
    <w:rsid w:val="00897CA0"/>
    <w:rsid w:val="008B7421"/>
    <w:rsid w:val="008B7D18"/>
    <w:rsid w:val="008C6A5E"/>
    <w:rsid w:val="008D59F6"/>
    <w:rsid w:val="008D7107"/>
    <w:rsid w:val="008F02CE"/>
    <w:rsid w:val="008F0BAC"/>
    <w:rsid w:val="008F0C57"/>
    <w:rsid w:val="008F248D"/>
    <w:rsid w:val="008F36F0"/>
    <w:rsid w:val="008F4E7E"/>
    <w:rsid w:val="00900B7E"/>
    <w:rsid w:val="00920524"/>
    <w:rsid w:val="00920BC0"/>
    <w:rsid w:val="009227DC"/>
    <w:rsid w:val="0092563B"/>
    <w:rsid w:val="009268A8"/>
    <w:rsid w:val="00932848"/>
    <w:rsid w:val="00932D3D"/>
    <w:rsid w:val="009364F1"/>
    <w:rsid w:val="009409C2"/>
    <w:rsid w:val="00941E23"/>
    <w:rsid w:val="00944290"/>
    <w:rsid w:val="009461D5"/>
    <w:rsid w:val="00947216"/>
    <w:rsid w:val="0094766A"/>
    <w:rsid w:val="009555DE"/>
    <w:rsid w:val="0095629C"/>
    <w:rsid w:val="00983BF6"/>
    <w:rsid w:val="00984154"/>
    <w:rsid w:val="00987D90"/>
    <w:rsid w:val="00993737"/>
    <w:rsid w:val="00993BEF"/>
    <w:rsid w:val="009A0979"/>
    <w:rsid w:val="009A09EA"/>
    <w:rsid w:val="009A31B5"/>
    <w:rsid w:val="009A7AFC"/>
    <w:rsid w:val="009B75CC"/>
    <w:rsid w:val="009C020A"/>
    <w:rsid w:val="009E1836"/>
    <w:rsid w:val="009F002C"/>
    <w:rsid w:val="009F1F4A"/>
    <w:rsid w:val="009F5F0E"/>
    <w:rsid w:val="00A06124"/>
    <w:rsid w:val="00A07F6C"/>
    <w:rsid w:val="00A13745"/>
    <w:rsid w:val="00A13A18"/>
    <w:rsid w:val="00A235B9"/>
    <w:rsid w:val="00A270D8"/>
    <w:rsid w:val="00A36DC0"/>
    <w:rsid w:val="00A50A45"/>
    <w:rsid w:val="00A53135"/>
    <w:rsid w:val="00A53356"/>
    <w:rsid w:val="00A5339E"/>
    <w:rsid w:val="00A55A31"/>
    <w:rsid w:val="00A56F91"/>
    <w:rsid w:val="00A701C7"/>
    <w:rsid w:val="00A71603"/>
    <w:rsid w:val="00A71CD8"/>
    <w:rsid w:val="00A734F6"/>
    <w:rsid w:val="00A73EB2"/>
    <w:rsid w:val="00A746D2"/>
    <w:rsid w:val="00A86306"/>
    <w:rsid w:val="00A90707"/>
    <w:rsid w:val="00A90CB1"/>
    <w:rsid w:val="00A913D7"/>
    <w:rsid w:val="00AA4971"/>
    <w:rsid w:val="00AB49EA"/>
    <w:rsid w:val="00AD0103"/>
    <w:rsid w:val="00AD67C7"/>
    <w:rsid w:val="00AE006F"/>
    <w:rsid w:val="00AE5F8A"/>
    <w:rsid w:val="00AE6099"/>
    <w:rsid w:val="00AE763D"/>
    <w:rsid w:val="00AE7BE5"/>
    <w:rsid w:val="00B01490"/>
    <w:rsid w:val="00B01766"/>
    <w:rsid w:val="00B04FC4"/>
    <w:rsid w:val="00B06006"/>
    <w:rsid w:val="00B247E9"/>
    <w:rsid w:val="00B25395"/>
    <w:rsid w:val="00B35435"/>
    <w:rsid w:val="00B47A23"/>
    <w:rsid w:val="00B50200"/>
    <w:rsid w:val="00B50AE6"/>
    <w:rsid w:val="00B5407B"/>
    <w:rsid w:val="00B542E0"/>
    <w:rsid w:val="00B551F6"/>
    <w:rsid w:val="00B55498"/>
    <w:rsid w:val="00B6068E"/>
    <w:rsid w:val="00B71CED"/>
    <w:rsid w:val="00B72953"/>
    <w:rsid w:val="00B74C43"/>
    <w:rsid w:val="00B764CD"/>
    <w:rsid w:val="00B7686E"/>
    <w:rsid w:val="00B9196A"/>
    <w:rsid w:val="00BA7DDA"/>
    <w:rsid w:val="00BB1A96"/>
    <w:rsid w:val="00BB2C58"/>
    <w:rsid w:val="00BB6122"/>
    <w:rsid w:val="00BB79DA"/>
    <w:rsid w:val="00BC1E5D"/>
    <w:rsid w:val="00BC3E8F"/>
    <w:rsid w:val="00BC6706"/>
    <w:rsid w:val="00BD14A9"/>
    <w:rsid w:val="00BD1B4A"/>
    <w:rsid w:val="00BD2DBB"/>
    <w:rsid w:val="00BD5D25"/>
    <w:rsid w:val="00BD7766"/>
    <w:rsid w:val="00BE1B86"/>
    <w:rsid w:val="00BE61E9"/>
    <w:rsid w:val="00BF0B82"/>
    <w:rsid w:val="00BF0C98"/>
    <w:rsid w:val="00C04BC4"/>
    <w:rsid w:val="00C0525E"/>
    <w:rsid w:val="00C1017F"/>
    <w:rsid w:val="00C165E7"/>
    <w:rsid w:val="00C20B0A"/>
    <w:rsid w:val="00C32899"/>
    <w:rsid w:val="00C4116F"/>
    <w:rsid w:val="00C418FC"/>
    <w:rsid w:val="00C507AC"/>
    <w:rsid w:val="00C52F72"/>
    <w:rsid w:val="00C65ACF"/>
    <w:rsid w:val="00C70F96"/>
    <w:rsid w:val="00C7137C"/>
    <w:rsid w:val="00C728EA"/>
    <w:rsid w:val="00C801DF"/>
    <w:rsid w:val="00C80D61"/>
    <w:rsid w:val="00C81E15"/>
    <w:rsid w:val="00C85674"/>
    <w:rsid w:val="00C86B0A"/>
    <w:rsid w:val="00C9546A"/>
    <w:rsid w:val="00CA0075"/>
    <w:rsid w:val="00CA2966"/>
    <w:rsid w:val="00CB3A2B"/>
    <w:rsid w:val="00CD28FE"/>
    <w:rsid w:val="00CD3840"/>
    <w:rsid w:val="00CE0565"/>
    <w:rsid w:val="00CE60DA"/>
    <w:rsid w:val="00CE79E9"/>
    <w:rsid w:val="00CF0528"/>
    <w:rsid w:val="00D010C0"/>
    <w:rsid w:val="00D01306"/>
    <w:rsid w:val="00D02FD1"/>
    <w:rsid w:val="00D03D21"/>
    <w:rsid w:val="00D11A7B"/>
    <w:rsid w:val="00D14AED"/>
    <w:rsid w:val="00D1500B"/>
    <w:rsid w:val="00D20D72"/>
    <w:rsid w:val="00D23442"/>
    <w:rsid w:val="00D25561"/>
    <w:rsid w:val="00D25761"/>
    <w:rsid w:val="00D4575C"/>
    <w:rsid w:val="00D50567"/>
    <w:rsid w:val="00D525B6"/>
    <w:rsid w:val="00D5281C"/>
    <w:rsid w:val="00D61BC2"/>
    <w:rsid w:val="00D6704B"/>
    <w:rsid w:val="00D72651"/>
    <w:rsid w:val="00D758DD"/>
    <w:rsid w:val="00D90D16"/>
    <w:rsid w:val="00D97777"/>
    <w:rsid w:val="00D97E4D"/>
    <w:rsid w:val="00DA31D6"/>
    <w:rsid w:val="00DA7B6B"/>
    <w:rsid w:val="00DB6D5F"/>
    <w:rsid w:val="00DC1296"/>
    <w:rsid w:val="00DC14D7"/>
    <w:rsid w:val="00DC30CA"/>
    <w:rsid w:val="00DC4965"/>
    <w:rsid w:val="00DC6A60"/>
    <w:rsid w:val="00DD3DB9"/>
    <w:rsid w:val="00DD5E19"/>
    <w:rsid w:val="00DD7716"/>
    <w:rsid w:val="00DE0D49"/>
    <w:rsid w:val="00E1324E"/>
    <w:rsid w:val="00E20B2C"/>
    <w:rsid w:val="00E21F80"/>
    <w:rsid w:val="00E2586F"/>
    <w:rsid w:val="00E2731C"/>
    <w:rsid w:val="00E3030F"/>
    <w:rsid w:val="00E30683"/>
    <w:rsid w:val="00E35BDA"/>
    <w:rsid w:val="00E36E36"/>
    <w:rsid w:val="00E4091A"/>
    <w:rsid w:val="00E45BDF"/>
    <w:rsid w:val="00E47C96"/>
    <w:rsid w:val="00E555CC"/>
    <w:rsid w:val="00E55EF3"/>
    <w:rsid w:val="00E57330"/>
    <w:rsid w:val="00E639FA"/>
    <w:rsid w:val="00E65802"/>
    <w:rsid w:val="00E7033C"/>
    <w:rsid w:val="00E83987"/>
    <w:rsid w:val="00EA00E2"/>
    <w:rsid w:val="00EA05C3"/>
    <w:rsid w:val="00EA0646"/>
    <w:rsid w:val="00EB2A8B"/>
    <w:rsid w:val="00EB7D69"/>
    <w:rsid w:val="00EC7124"/>
    <w:rsid w:val="00ED1E7C"/>
    <w:rsid w:val="00ED7724"/>
    <w:rsid w:val="00EF471A"/>
    <w:rsid w:val="00EF5D9A"/>
    <w:rsid w:val="00F007C9"/>
    <w:rsid w:val="00F022BE"/>
    <w:rsid w:val="00F030DC"/>
    <w:rsid w:val="00F0533B"/>
    <w:rsid w:val="00F0795D"/>
    <w:rsid w:val="00F159E6"/>
    <w:rsid w:val="00F24AFA"/>
    <w:rsid w:val="00F250DE"/>
    <w:rsid w:val="00F339B6"/>
    <w:rsid w:val="00F35B3B"/>
    <w:rsid w:val="00F36CCE"/>
    <w:rsid w:val="00F378D8"/>
    <w:rsid w:val="00F4554C"/>
    <w:rsid w:val="00F5006F"/>
    <w:rsid w:val="00F507FA"/>
    <w:rsid w:val="00F5080A"/>
    <w:rsid w:val="00F5455D"/>
    <w:rsid w:val="00F57F81"/>
    <w:rsid w:val="00F64357"/>
    <w:rsid w:val="00F701FF"/>
    <w:rsid w:val="00F70B67"/>
    <w:rsid w:val="00F70F80"/>
    <w:rsid w:val="00F72E9D"/>
    <w:rsid w:val="00F77371"/>
    <w:rsid w:val="00F83853"/>
    <w:rsid w:val="00F93987"/>
    <w:rsid w:val="00F97AA3"/>
    <w:rsid w:val="00FA0200"/>
    <w:rsid w:val="00FA4FDD"/>
    <w:rsid w:val="00FA58D3"/>
    <w:rsid w:val="00FB0C05"/>
    <w:rsid w:val="00FD5ADB"/>
    <w:rsid w:val="00FF2801"/>
    <w:rsid w:val="00FF5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BA18"/>
  <w15:docId w15:val="{24FFAABF-28E6-46F7-87DF-E8CE84C0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9"/>
    <w:qFormat/>
    <w:pPr>
      <w:ind w:left="853" w:hanging="361"/>
      <w:outlineLvl w:val="0"/>
    </w:pPr>
    <w:rPr>
      <w:b/>
      <w:bCs/>
      <w:sz w:val="24"/>
      <w:szCs w:val="24"/>
    </w:rPr>
  </w:style>
  <w:style w:type="paragraph" w:styleId="Titolo2">
    <w:name w:val="heading 2"/>
    <w:basedOn w:val="Normale"/>
    <w:link w:val="Titolo2Carattere"/>
    <w:uiPriority w:val="9"/>
    <w:qFormat/>
    <w:pPr>
      <w:ind w:left="133"/>
      <w:outlineLvl w:val="1"/>
    </w:pPr>
    <w:rPr>
      <w:b/>
      <w:bCs/>
    </w:rPr>
  </w:style>
  <w:style w:type="paragraph" w:styleId="Titolo3">
    <w:name w:val="heading 3"/>
    <w:basedOn w:val="Normale"/>
    <w:link w:val="Titolo3Carattere"/>
    <w:uiPriority w:val="9"/>
    <w:qFormat/>
    <w:pPr>
      <w:ind w:left="133"/>
      <w:outlineLvl w:val="2"/>
    </w:pPr>
    <w:rPr>
      <w:b/>
      <w:bCs/>
    </w:rPr>
  </w:style>
  <w:style w:type="paragraph" w:styleId="Titolo4">
    <w:name w:val="heading 4"/>
    <w:basedOn w:val="Normale"/>
    <w:uiPriority w:val="1"/>
    <w:qFormat/>
    <w:pPr>
      <w:spacing w:line="251" w:lineRule="exact"/>
      <w:ind w:left="493"/>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06F8"/>
    <w:rPr>
      <w:rFonts w:ascii="Times New Roman" w:eastAsia="Times New Roman" w:hAnsi="Times New Roman" w:cs="Times New Roman"/>
      <w:b/>
      <w:bCs/>
      <w:sz w:val="24"/>
      <w:szCs w:val="24"/>
      <w:lang w:val="it-IT"/>
    </w:rPr>
  </w:style>
  <w:style w:type="character" w:customStyle="1" w:styleId="Titolo2Carattere">
    <w:name w:val="Titolo 2 Carattere"/>
    <w:basedOn w:val="Carpredefinitoparagrafo"/>
    <w:link w:val="Titolo2"/>
    <w:uiPriority w:val="9"/>
    <w:rsid w:val="003906F8"/>
    <w:rPr>
      <w:rFonts w:ascii="Times New Roman" w:eastAsia="Times New Roman" w:hAnsi="Times New Roman" w:cs="Times New Roman"/>
      <w:b/>
      <w:bCs/>
      <w:lang w:val="it-IT"/>
    </w:rPr>
  </w:style>
  <w:style w:type="character" w:customStyle="1" w:styleId="Titolo3Carattere">
    <w:name w:val="Titolo 3 Carattere"/>
    <w:basedOn w:val="Carpredefinitoparagrafo"/>
    <w:link w:val="Titolo3"/>
    <w:uiPriority w:val="9"/>
    <w:rsid w:val="003906F8"/>
    <w:rPr>
      <w:rFonts w:ascii="Times New Roman" w:eastAsia="Times New Roman" w:hAnsi="Times New Roman" w:cs="Times New Roman"/>
      <w:b/>
      <w:bCs/>
      <w:lang w:val="it-I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33"/>
    </w:pPr>
  </w:style>
  <w:style w:type="character" w:customStyle="1" w:styleId="CorpotestoCarattere">
    <w:name w:val="Corpo testo Carattere"/>
    <w:basedOn w:val="Carpredefinitoparagrafo"/>
    <w:link w:val="Corpotesto"/>
    <w:uiPriority w:val="1"/>
    <w:rsid w:val="0041692B"/>
    <w:rPr>
      <w:rFonts w:ascii="Times New Roman" w:eastAsia="Times New Roman" w:hAnsi="Times New Roman" w:cs="Times New Roman"/>
      <w:lang w:val="it-IT"/>
    </w:rPr>
  </w:style>
  <w:style w:type="paragraph" w:styleId="Titolo">
    <w:name w:val="Title"/>
    <w:basedOn w:val="Normale"/>
    <w:link w:val="TitoloCarattere"/>
    <w:uiPriority w:val="1"/>
    <w:qFormat/>
    <w:pPr>
      <w:spacing w:before="238"/>
      <w:ind w:left="4213" w:right="1582"/>
      <w:jc w:val="center"/>
    </w:pPr>
    <w:rPr>
      <w:rFonts w:ascii="Arial" w:eastAsia="Arial" w:hAnsi="Arial" w:cs="Arial"/>
      <w:sz w:val="40"/>
      <w:szCs w:val="40"/>
    </w:rPr>
  </w:style>
  <w:style w:type="character" w:customStyle="1" w:styleId="TitoloCarattere">
    <w:name w:val="Titolo Carattere"/>
    <w:basedOn w:val="Carpredefinitoparagrafo"/>
    <w:link w:val="Titolo"/>
    <w:uiPriority w:val="1"/>
    <w:rsid w:val="003906F8"/>
    <w:rPr>
      <w:rFonts w:ascii="Arial" w:eastAsia="Arial" w:hAnsi="Arial" w:cs="Arial"/>
      <w:sz w:val="40"/>
      <w:szCs w:val="40"/>
      <w:lang w:val="it-IT"/>
    </w:rPr>
  </w:style>
  <w:style w:type="paragraph" w:styleId="Paragrafoelenco">
    <w:name w:val="List Paragraph"/>
    <w:basedOn w:val="Normale"/>
    <w:link w:val="ParagrafoelencoCarattere"/>
    <w:uiPriority w:val="1"/>
    <w:qFormat/>
    <w:pPr>
      <w:ind w:left="853" w:hanging="284"/>
    </w:pPr>
  </w:style>
  <w:style w:type="character" w:customStyle="1" w:styleId="ParagrafoelencoCarattere">
    <w:name w:val="Paragrafo elenco Carattere"/>
    <w:basedOn w:val="Carpredefinitoparagrafo"/>
    <w:link w:val="Paragrafoelenco"/>
    <w:uiPriority w:val="34"/>
    <w:rsid w:val="00760CE0"/>
    <w:rPr>
      <w:rFonts w:ascii="Times New Roman" w:eastAsia="Times New Roman" w:hAnsi="Times New Roman" w:cs="Times New Roman"/>
      <w:lang w:val="it-IT"/>
    </w:rPr>
  </w:style>
  <w:style w:type="paragraph" w:customStyle="1" w:styleId="TableParagraph">
    <w:name w:val="Table Paragraph"/>
    <w:basedOn w:val="Normale"/>
    <w:uiPriority w:val="1"/>
    <w:qFormat/>
  </w:style>
  <w:style w:type="paragraph" w:customStyle="1" w:styleId="Default">
    <w:name w:val="Default"/>
    <w:qFormat/>
    <w:rsid w:val="0053210B"/>
    <w:pPr>
      <w:widowControl/>
      <w:adjustRightInd w:val="0"/>
    </w:pPr>
    <w:rPr>
      <w:rFonts w:ascii="Times New Roman" w:hAnsi="Times New Roman" w:cs="Times New Roman"/>
      <w:color w:val="000000"/>
      <w:sz w:val="24"/>
      <w:szCs w:val="24"/>
      <w:lang w:val="it-IT"/>
    </w:rPr>
  </w:style>
  <w:style w:type="paragraph" w:styleId="PreformattatoHTML">
    <w:name w:val="HTML Preformatted"/>
    <w:basedOn w:val="Normale"/>
    <w:link w:val="PreformattatoHTMLCarattere"/>
    <w:uiPriority w:val="99"/>
    <w:semiHidden/>
    <w:unhideWhenUsed/>
    <w:rsid w:val="00125F00"/>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125F00"/>
    <w:rPr>
      <w:rFonts w:ascii="Consolas" w:eastAsia="Times New Roman" w:hAnsi="Consolas" w:cs="Times New Roman"/>
      <w:sz w:val="20"/>
      <w:szCs w:val="20"/>
      <w:lang w:val="it-IT"/>
    </w:rPr>
  </w:style>
  <w:style w:type="character" w:styleId="Collegamentoipertestuale">
    <w:name w:val="Hyperlink"/>
    <w:basedOn w:val="Carpredefinitoparagrafo"/>
    <w:uiPriority w:val="99"/>
    <w:unhideWhenUsed/>
    <w:rsid w:val="00515C9C"/>
    <w:rPr>
      <w:color w:val="0000FF" w:themeColor="hyperlink"/>
      <w:u w:val="single"/>
    </w:rPr>
  </w:style>
  <w:style w:type="paragraph" w:styleId="Nessunaspaziatura">
    <w:name w:val="No Spacing"/>
    <w:qFormat/>
    <w:rsid w:val="00F030DC"/>
    <w:pPr>
      <w:widowControl/>
      <w:autoSpaceDE/>
      <w:autoSpaceDN/>
      <w:jc w:val="both"/>
    </w:pPr>
    <w:rPr>
      <w:rFonts w:ascii="Calibri" w:eastAsia="Times New Roman" w:hAnsi="Calibri" w:cs="Times New Roman"/>
      <w:lang w:val="it-IT"/>
    </w:rPr>
  </w:style>
  <w:style w:type="paragraph" w:styleId="NormaleWeb">
    <w:name w:val="Normal (Web)"/>
    <w:basedOn w:val="Normale"/>
    <w:uiPriority w:val="99"/>
    <w:semiHidden/>
    <w:unhideWhenUsed/>
    <w:rsid w:val="000814D5"/>
    <w:pPr>
      <w:widowControl/>
      <w:autoSpaceDE/>
      <w:autoSpaceDN/>
      <w:spacing w:before="100" w:beforeAutospacing="1" w:after="100" w:afterAutospacing="1"/>
    </w:pPr>
    <w:rPr>
      <w:sz w:val="24"/>
      <w:szCs w:val="24"/>
      <w:lang w:eastAsia="it-IT"/>
    </w:rPr>
  </w:style>
  <w:style w:type="character" w:customStyle="1" w:styleId="Menzionenonrisolta1">
    <w:name w:val="Menzione non risolta1"/>
    <w:basedOn w:val="Carpredefinitoparagrafo"/>
    <w:uiPriority w:val="99"/>
    <w:semiHidden/>
    <w:unhideWhenUsed/>
    <w:rsid w:val="00072751"/>
    <w:rPr>
      <w:color w:val="605E5C"/>
      <w:shd w:val="clear" w:color="auto" w:fill="E1DFDD"/>
    </w:rPr>
  </w:style>
  <w:style w:type="table" w:customStyle="1" w:styleId="TableNormal1">
    <w:name w:val="Table Normal1"/>
    <w:uiPriority w:val="2"/>
    <w:semiHidden/>
    <w:unhideWhenUsed/>
    <w:qFormat/>
    <w:rsid w:val="00A13745"/>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semiHidden/>
    <w:unhideWhenUsed/>
    <w:rsid w:val="00620AD1"/>
    <w:pPr>
      <w:spacing w:after="120" w:line="480" w:lineRule="auto"/>
    </w:pPr>
  </w:style>
  <w:style w:type="character" w:customStyle="1" w:styleId="Corpodeltesto2Carattere">
    <w:name w:val="Corpo del testo 2 Carattere"/>
    <w:basedOn w:val="Carpredefinitoparagrafo"/>
    <w:link w:val="Corpodeltesto2"/>
    <w:uiPriority w:val="99"/>
    <w:semiHidden/>
    <w:rsid w:val="00620AD1"/>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3B20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0B4"/>
    <w:rPr>
      <w:rFonts w:ascii="Segoe UI" w:eastAsia="Times New Roman" w:hAnsi="Segoe UI" w:cs="Segoe UI"/>
      <w:sz w:val="18"/>
      <w:szCs w:val="18"/>
      <w:lang w:val="it-IT"/>
    </w:rPr>
  </w:style>
  <w:style w:type="paragraph" w:styleId="Rientrocorpodeltesto3">
    <w:name w:val="Body Text Indent 3"/>
    <w:basedOn w:val="Normale"/>
    <w:link w:val="Rientrocorpodeltesto3Carattere"/>
    <w:uiPriority w:val="99"/>
    <w:semiHidden/>
    <w:unhideWhenUsed/>
    <w:rsid w:val="00B764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764CD"/>
    <w:rPr>
      <w:rFonts w:ascii="Times New Roman" w:eastAsia="Times New Roman" w:hAnsi="Times New Roman" w:cs="Times New Roman"/>
      <w:sz w:val="16"/>
      <w:szCs w:val="16"/>
      <w:lang w:val="it-IT"/>
    </w:rPr>
  </w:style>
  <w:style w:type="paragraph" w:styleId="Intestazione">
    <w:name w:val="header"/>
    <w:basedOn w:val="Normale"/>
    <w:link w:val="IntestazioneCarattere"/>
    <w:uiPriority w:val="99"/>
    <w:unhideWhenUsed/>
    <w:rsid w:val="00841097"/>
    <w:pPr>
      <w:tabs>
        <w:tab w:val="center" w:pos="4819"/>
        <w:tab w:val="right" w:pos="9638"/>
      </w:tabs>
    </w:pPr>
  </w:style>
  <w:style w:type="character" w:customStyle="1" w:styleId="IntestazioneCarattere">
    <w:name w:val="Intestazione Carattere"/>
    <w:basedOn w:val="Carpredefinitoparagrafo"/>
    <w:link w:val="Intestazione"/>
    <w:uiPriority w:val="99"/>
    <w:rsid w:val="0084109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41097"/>
    <w:pPr>
      <w:tabs>
        <w:tab w:val="center" w:pos="4819"/>
        <w:tab w:val="right" w:pos="9638"/>
      </w:tabs>
    </w:pPr>
  </w:style>
  <w:style w:type="character" w:customStyle="1" w:styleId="PidipaginaCarattere">
    <w:name w:val="Piè di pagina Carattere"/>
    <w:basedOn w:val="Carpredefinitoparagrafo"/>
    <w:link w:val="Pidipagina"/>
    <w:uiPriority w:val="99"/>
    <w:rsid w:val="00841097"/>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7024">
      <w:bodyDiv w:val="1"/>
      <w:marLeft w:val="0"/>
      <w:marRight w:val="0"/>
      <w:marTop w:val="0"/>
      <w:marBottom w:val="0"/>
      <w:divBdr>
        <w:top w:val="none" w:sz="0" w:space="0" w:color="auto"/>
        <w:left w:val="none" w:sz="0" w:space="0" w:color="auto"/>
        <w:bottom w:val="none" w:sz="0" w:space="0" w:color="auto"/>
        <w:right w:val="none" w:sz="0" w:space="0" w:color="auto"/>
      </w:divBdr>
    </w:div>
    <w:div w:id="618804633">
      <w:bodyDiv w:val="1"/>
      <w:marLeft w:val="0"/>
      <w:marRight w:val="0"/>
      <w:marTop w:val="0"/>
      <w:marBottom w:val="0"/>
      <w:divBdr>
        <w:top w:val="none" w:sz="0" w:space="0" w:color="auto"/>
        <w:left w:val="none" w:sz="0" w:space="0" w:color="auto"/>
        <w:bottom w:val="none" w:sz="0" w:space="0" w:color="auto"/>
        <w:right w:val="none" w:sz="0" w:space="0" w:color="auto"/>
      </w:divBdr>
      <w:divsChild>
        <w:div w:id="1414815234">
          <w:marLeft w:val="-225"/>
          <w:marRight w:val="-225"/>
          <w:marTop w:val="0"/>
          <w:marBottom w:val="0"/>
          <w:divBdr>
            <w:top w:val="none" w:sz="0" w:space="0" w:color="auto"/>
            <w:left w:val="none" w:sz="0" w:space="0" w:color="auto"/>
            <w:bottom w:val="none" w:sz="0" w:space="0" w:color="auto"/>
            <w:right w:val="none" w:sz="0" w:space="0" w:color="auto"/>
          </w:divBdr>
          <w:divsChild>
            <w:div w:id="657997921">
              <w:marLeft w:val="0"/>
              <w:marRight w:val="0"/>
              <w:marTop w:val="0"/>
              <w:marBottom w:val="0"/>
              <w:divBdr>
                <w:top w:val="none" w:sz="0" w:space="0" w:color="auto"/>
                <w:left w:val="none" w:sz="0" w:space="0" w:color="auto"/>
                <w:bottom w:val="none" w:sz="0" w:space="0" w:color="auto"/>
                <w:right w:val="none" w:sz="0" w:space="0" w:color="auto"/>
              </w:divBdr>
              <w:divsChild>
                <w:div w:id="692849342">
                  <w:marLeft w:val="0"/>
                  <w:marRight w:val="0"/>
                  <w:marTop w:val="225"/>
                  <w:marBottom w:val="0"/>
                  <w:divBdr>
                    <w:top w:val="single" w:sz="6" w:space="11" w:color="DDDDDD"/>
                    <w:left w:val="single" w:sz="6" w:space="11" w:color="DDDDDD"/>
                    <w:bottom w:val="single" w:sz="6" w:space="11" w:color="DDDDDD"/>
                    <w:right w:val="single" w:sz="6" w:space="11" w:color="DDDDDD"/>
                  </w:divBdr>
                  <w:divsChild>
                    <w:div w:id="6155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82825">
      <w:bodyDiv w:val="1"/>
      <w:marLeft w:val="0"/>
      <w:marRight w:val="0"/>
      <w:marTop w:val="0"/>
      <w:marBottom w:val="0"/>
      <w:divBdr>
        <w:top w:val="none" w:sz="0" w:space="0" w:color="auto"/>
        <w:left w:val="none" w:sz="0" w:space="0" w:color="auto"/>
        <w:bottom w:val="none" w:sz="0" w:space="0" w:color="auto"/>
        <w:right w:val="none" w:sz="0" w:space="0" w:color="auto"/>
      </w:divBdr>
    </w:div>
    <w:div w:id="889536897">
      <w:bodyDiv w:val="1"/>
      <w:marLeft w:val="0"/>
      <w:marRight w:val="0"/>
      <w:marTop w:val="0"/>
      <w:marBottom w:val="0"/>
      <w:divBdr>
        <w:top w:val="none" w:sz="0" w:space="0" w:color="auto"/>
        <w:left w:val="none" w:sz="0" w:space="0" w:color="auto"/>
        <w:bottom w:val="none" w:sz="0" w:space="0" w:color="auto"/>
        <w:right w:val="none" w:sz="0" w:space="0" w:color="auto"/>
      </w:divBdr>
    </w:div>
    <w:div w:id="1316690988">
      <w:bodyDiv w:val="1"/>
      <w:marLeft w:val="0"/>
      <w:marRight w:val="0"/>
      <w:marTop w:val="0"/>
      <w:marBottom w:val="0"/>
      <w:divBdr>
        <w:top w:val="none" w:sz="0" w:space="0" w:color="auto"/>
        <w:left w:val="none" w:sz="0" w:space="0" w:color="auto"/>
        <w:bottom w:val="none" w:sz="0" w:space="0" w:color="auto"/>
        <w:right w:val="none" w:sz="0" w:space="0" w:color="auto"/>
      </w:divBdr>
    </w:div>
    <w:div w:id="1564757293">
      <w:bodyDiv w:val="1"/>
      <w:marLeft w:val="0"/>
      <w:marRight w:val="0"/>
      <w:marTop w:val="0"/>
      <w:marBottom w:val="0"/>
      <w:divBdr>
        <w:top w:val="none" w:sz="0" w:space="0" w:color="auto"/>
        <w:left w:val="none" w:sz="0" w:space="0" w:color="auto"/>
        <w:bottom w:val="none" w:sz="0" w:space="0" w:color="auto"/>
        <w:right w:val="none" w:sz="0" w:space="0" w:color="auto"/>
      </w:divBdr>
    </w:div>
    <w:div w:id="1680035141">
      <w:bodyDiv w:val="1"/>
      <w:marLeft w:val="0"/>
      <w:marRight w:val="0"/>
      <w:marTop w:val="0"/>
      <w:marBottom w:val="0"/>
      <w:divBdr>
        <w:top w:val="none" w:sz="0" w:space="0" w:color="auto"/>
        <w:left w:val="none" w:sz="0" w:space="0" w:color="auto"/>
        <w:bottom w:val="none" w:sz="0" w:space="0" w:color="auto"/>
        <w:right w:val="none" w:sz="0" w:space="0" w:color="auto"/>
      </w:divBdr>
    </w:div>
    <w:div w:id="1750885548">
      <w:bodyDiv w:val="1"/>
      <w:marLeft w:val="0"/>
      <w:marRight w:val="0"/>
      <w:marTop w:val="0"/>
      <w:marBottom w:val="0"/>
      <w:divBdr>
        <w:top w:val="none" w:sz="0" w:space="0" w:color="auto"/>
        <w:left w:val="none" w:sz="0" w:space="0" w:color="auto"/>
        <w:bottom w:val="none" w:sz="0" w:space="0" w:color="auto"/>
        <w:right w:val="none" w:sz="0" w:space="0" w:color="auto"/>
      </w:divBdr>
    </w:div>
    <w:div w:id="1804810532">
      <w:bodyDiv w:val="1"/>
      <w:marLeft w:val="0"/>
      <w:marRight w:val="0"/>
      <w:marTop w:val="0"/>
      <w:marBottom w:val="0"/>
      <w:divBdr>
        <w:top w:val="none" w:sz="0" w:space="0" w:color="auto"/>
        <w:left w:val="none" w:sz="0" w:space="0" w:color="auto"/>
        <w:bottom w:val="none" w:sz="0" w:space="0" w:color="auto"/>
        <w:right w:val="none" w:sz="0" w:space="0" w:color="auto"/>
      </w:divBdr>
    </w:div>
    <w:div w:id="1983344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84A75.D2754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A097-0C1D-4160-8DF5-86988927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2986</Words>
  <Characters>17023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 tecnico</dc:creator>
  <cp:lastModifiedBy>Studio Fusinato</cp:lastModifiedBy>
  <cp:revision>44</cp:revision>
  <cp:lastPrinted>2022-07-15T13:31:00Z</cp:lastPrinted>
  <dcterms:created xsi:type="dcterms:W3CDTF">2022-07-13T09:29:00Z</dcterms:created>
  <dcterms:modified xsi:type="dcterms:W3CDTF">2024-04-09T14:59:00Z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2021-03-21T00:00:00Z</vt:filetime>
  </property>
  <property fmtid="{D5CDD505-2E9C-101B-9397-08002B2CF9AE}" pid="3" name="Creator">
    <vt:lpwstr>Microsoft® Word per Microsoft 365</vt:lpwstr>
  </property>
  <property fmtid="{D5CDD505-2E9C-101B-9397-08002B2CF9AE}" pid="4" name="LastSaved">
    <vt:filetime>2022-05-05T00:00:00Z</vt:filetime>
  </property>
</Properties>
</file>